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5" w:rsidRDefault="005A1165">
      <w:pPr>
        <w:rPr>
          <w:rFonts w:ascii="Calibri" w:hAnsi="Calibri"/>
          <w:b/>
          <w:sz w:val="32"/>
          <w:szCs w:val="32"/>
          <w:u w:val="single"/>
          <w:lang w:val="nb-NO"/>
        </w:rPr>
      </w:pPr>
    </w:p>
    <w:p w:rsidR="00CF116F" w:rsidRPr="007119B4" w:rsidRDefault="002D3069">
      <w:pPr>
        <w:rPr>
          <w:rFonts w:ascii="Calibri" w:hAnsi="Calibri"/>
          <w:lang w:val="nb-NO"/>
        </w:rPr>
      </w:pPr>
      <w:r w:rsidRPr="007119B4">
        <w:rPr>
          <w:rFonts w:ascii="Calibri" w:hAnsi="Calibri"/>
          <w:b/>
          <w:sz w:val="32"/>
          <w:szCs w:val="32"/>
          <w:u w:val="single"/>
          <w:lang w:val="nb-NO"/>
        </w:rPr>
        <w:t>SYL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>L</w:t>
      </w:r>
      <w:r w:rsidR="004C0CCA" w:rsidRPr="007119B4">
        <w:rPr>
          <w:rFonts w:ascii="Calibri" w:hAnsi="Calibri"/>
          <w:b/>
          <w:sz w:val="32"/>
          <w:szCs w:val="32"/>
          <w:u w:val="single"/>
          <w:lang w:val="nb-NO"/>
        </w:rPr>
        <w:t>ABUS</w:t>
      </w:r>
      <w:r w:rsidR="00781805" w:rsidRPr="007119B4">
        <w:rPr>
          <w:rFonts w:ascii="Calibri" w:hAnsi="Calibri"/>
          <w:b/>
          <w:sz w:val="32"/>
          <w:szCs w:val="32"/>
          <w:u w:val="single"/>
          <w:lang w:val="nb-NO"/>
        </w:rPr>
        <w:t xml:space="preserve"> </w:t>
      </w:r>
      <w:r w:rsidR="007119B4" w:rsidRPr="007119B4">
        <w:rPr>
          <w:rFonts w:ascii="Calibri" w:hAnsi="Calibri"/>
          <w:b/>
          <w:sz w:val="32"/>
          <w:szCs w:val="32"/>
          <w:u w:val="single"/>
          <w:lang w:val="nb-NO"/>
        </w:rPr>
        <w:t>–</w:t>
      </w:r>
      <w:r w:rsidR="00D66A35">
        <w:rPr>
          <w:rFonts w:ascii="Calibri" w:hAnsi="Calibri"/>
          <w:b/>
          <w:sz w:val="32"/>
          <w:szCs w:val="32"/>
          <w:u w:val="single"/>
          <w:lang w:val="nb-NO"/>
        </w:rPr>
        <w:t xml:space="preserve">Complex compounds and their stereoisomery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D66A35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Basic </w:t>
            </w:r>
            <w:proofErr w:type="spellStart"/>
            <w:r>
              <w:rPr>
                <w:rFonts w:ascii="Calibri" w:hAnsi="Calibri"/>
                <w:b/>
              </w:rPr>
              <w:t>informations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Academic unit</w:t>
            </w:r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D66A35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FMN</w:t>
            </w:r>
            <w:r w:rsidR="00D66A35">
              <w:rPr>
                <w:b/>
                <w:szCs w:val="28"/>
              </w:rPr>
              <w:t>S</w:t>
            </w:r>
            <w:r>
              <w:rPr>
                <w:b/>
                <w:szCs w:val="28"/>
              </w:rPr>
              <w:t xml:space="preserve">- </w:t>
            </w:r>
            <w:proofErr w:type="spellStart"/>
            <w:r>
              <w:rPr>
                <w:b/>
                <w:szCs w:val="28"/>
              </w:rPr>
              <w:t>Departament</w:t>
            </w:r>
            <w:proofErr w:type="spellEnd"/>
            <w:r w:rsidR="00D66A35">
              <w:rPr>
                <w:b/>
                <w:szCs w:val="28"/>
              </w:rPr>
              <w:t xml:space="preserve"> of Chemistry</w:t>
            </w:r>
          </w:p>
        </w:tc>
      </w:tr>
      <w:tr w:rsidR="00CF116F" w:rsidRPr="003C4CBF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Name of module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3C4CBF" w:rsidRDefault="00D66A35" w:rsidP="00CB1E37">
            <w:pPr>
              <w:pStyle w:val="NoSpacing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 xml:space="preserve">Complex compounds and their stereoisomery 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Level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467E12" w:rsidP="00D66A35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Master</w:t>
            </w:r>
            <w:r w:rsidR="00CB1E37">
              <w:rPr>
                <w:b/>
                <w:szCs w:val="28"/>
              </w:rPr>
              <w:t xml:space="preserve"> –</w:t>
            </w:r>
            <w:r w:rsidR="00D66A35">
              <w:rPr>
                <w:b/>
                <w:szCs w:val="28"/>
              </w:rPr>
              <w:t>Inorganic Chemistry and physics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D66A3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 of module</w:t>
            </w:r>
            <w:r w:rsidR="00781805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777D28" w:rsidRDefault="00467E12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Year of study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8829BF" w:rsidP="00D66A35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  <w:r w:rsidR="00CB1E37">
              <w:rPr>
                <w:b/>
                <w:szCs w:val="28"/>
              </w:rPr>
              <w:t xml:space="preserve"> (seme</w:t>
            </w:r>
            <w:r>
              <w:rPr>
                <w:b/>
                <w:szCs w:val="28"/>
              </w:rPr>
              <w:t>st</w:t>
            </w:r>
            <w:r w:rsidR="00D66A35">
              <w:rPr>
                <w:b/>
                <w:szCs w:val="28"/>
              </w:rPr>
              <w:t xml:space="preserve">er </w:t>
            </w:r>
            <w:r w:rsidR="00467E12">
              <w:rPr>
                <w:b/>
                <w:szCs w:val="28"/>
              </w:rPr>
              <w:t>I</w:t>
            </w:r>
            <w:r w:rsidR="00CB1E37">
              <w:rPr>
                <w:b/>
                <w:szCs w:val="28"/>
              </w:rPr>
              <w:t>)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Number of hours per week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5B7D2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 +</w:t>
            </w:r>
            <w:r w:rsidR="00467E12">
              <w:rPr>
                <w:b/>
                <w:szCs w:val="28"/>
              </w:rPr>
              <w:t>2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 ECTS:</w:t>
            </w:r>
          </w:p>
        </w:tc>
        <w:tc>
          <w:tcPr>
            <w:tcW w:w="5239" w:type="dxa"/>
            <w:gridSpan w:val="3"/>
          </w:tcPr>
          <w:p w:rsidR="00CF116F" w:rsidRPr="00777D28" w:rsidRDefault="005B7D2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D66A3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Time  /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loction</w:t>
            </w:r>
            <w:proofErr w:type="spellEnd"/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CF116F" w:rsidP="00FB050B">
            <w:pPr>
              <w:pStyle w:val="NoSpacing"/>
              <w:rPr>
                <w:b/>
                <w:szCs w:val="28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Lecturer</w:t>
            </w:r>
            <w:r w:rsidR="00CF116F"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07067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B6D7B">
              <w:rPr>
                <w:b/>
                <w:szCs w:val="28"/>
              </w:rPr>
              <w:t>Dr.</w:t>
            </w:r>
            <w:r w:rsidR="00070679">
              <w:rPr>
                <w:b/>
                <w:szCs w:val="28"/>
              </w:rPr>
              <w:t xml:space="preserve">sc. </w:t>
            </w:r>
            <w:proofErr w:type="spellStart"/>
            <w:r w:rsidR="00070679">
              <w:rPr>
                <w:b/>
                <w:szCs w:val="28"/>
              </w:rPr>
              <w:t>Albana</w:t>
            </w:r>
            <w:proofErr w:type="spellEnd"/>
            <w:r w:rsidR="00070679">
              <w:rPr>
                <w:b/>
                <w:szCs w:val="28"/>
              </w:rPr>
              <w:t xml:space="preserve"> R. </w:t>
            </w:r>
            <w:proofErr w:type="spellStart"/>
            <w:r w:rsidR="00070679">
              <w:rPr>
                <w:b/>
                <w:szCs w:val="28"/>
              </w:rPr>
              <w:t>Mehmeti</w:t>
            </w:r>
            <w:proofErr w:type="spellEnd"/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Contact details</w:t>
            </w:r>
            <w:r w:rsidR="00CF116F"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777D28" w:rsidRDefault="007119B4" w:rsidP="00070679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Tel: </w:t>
            </w:r>
            <w:r w:rsidR="009B6D7B">
              <w:rPr>
                <w:lang w:val="it-IT"/>
              </w:rPr>
              <w:t>044</w:t>
            </w:r>
            <w:r w:rsidR="00070679">
              <w:rPr>
                <w:lang w:val="it-IT"/>
              </w:rPr>
              <w:t>190022</w:t>
            </w: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D66A35" w:rsidP="00D66A35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Module description:</w:t>
            </w:r>
          </w:p>
        </w:tc>
        <w:tc>
          <w:tcPr>
            <w:tcW w:w="5239" w:type="dxa"/>
            <w:gridSpan w:val="3"/>
          </w:tcPr>
          <w:p w:rsidR="007C3132" w:rsidRPr="00D67209" w:rsidRDefault="007C3132" w:rsidP="009B6D7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6C49F7" w:rsidTr="00183923">
        <w:tc>
          <w:tcPr>
            <w:tcW w:w="3617" w:type="dxa"/>
          </w:tcPr>
          <w:p w:rsidR="00CF116F" w:rsidRPr="00777D28" w:rsidRDefault="00D66A35" w:rsidP="00CF116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Purpose of module</w:t>
            </w:r>
            <w:r w:rsidR="00CF116F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66CF0" w:rsidRPr="001338D7" w:rsidRDefault="00F1691F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66CF0">
              <w:rPr>
                <w:lang w:val="it-IT"/>
              </w:rPr>
              <w:t xml:space="preserve">  </w:t>
            </w:r>
            <w:r w:rsidR="00C66CF0" w:rsidRPr="001338D7">
              <w:rPr>
                <w:i/>
                <w:lang w:val="it-IT"/>
              </w:rPr>
              <w:t>Student</w:t>
            </w:r>
            <w:r w:rsidR="00D66A35">
              <w:rPr>
                <w:i/>
                <w:lang w:val="it-IT"/>
              </w:rPr>
              <w:t>s within frames of this module</w:t>
            </w:r>
            <w:r w:rsidR="00C66CF0" w:rsidRPr="001338D7">
              <w:rPr>
                <w:i/>
                <w:lang w:val="it-IT"/>
              </w:rPr>
              <w:t xml:space="preserve"> </w:t>
            </w:r>
            <w:r w:rsidR="00D66A35">
              <w:rPr>
                <w:i/>
                <w:lang w:val="it-IT"/>
              </w:rPr>
              <w:t>should improve theoretical basic</w:t>
            </w:r>
            <w:r w:rsidR="00914D20">
              <w:rPr>
                <w:i/>
                <w:lang w:val="it-IT"/>
              </w:rPr>
              <w:t xml:space="preserve">s about inorganic complex compounds </w:t>
            </w:r>
            <w:r w:rsidR="0078455B">
              <w:rPr>
                <w:i/>
                <w:lang w:val="it-IT"/>
              </w:rPr>
              <w:t>and</w:t>
            </w:r>
            <w:r w:rsidR="00914D20">
              <w:rPr>
                <w:i/>
                <w:lang w:val="it-IT"/>
              </w:rPr>
              <w:t xml:space="preserve"> ligands:</w:t>
            </w:r>
            <w:r w:rsidR="00DF277C">
              <w:rPr>
                <w:i/>
                <w:lang w:val="it-IT"/>
              </w:rPr>
              <w:t xml:space="preserve"> </w:t>
            </w:r>
            <w:r w:rsidR="00C66CF0" w:rsidRPr="001338D7">
              <w:rPr>
                <w:i/>
                <w:lang w:val="it-IT"/>
              </w:rPr>
              <w:t xml:space="preserve">bidentat, polidentat </w:t>
            </w:r>
            <w:r w:rsidR="00914D20">
              <w:rPr>
                <w:i/>
                <w:lang w:val="it-IT"/>
              </w:rPr>
              <w:t xml:space="preserve">and </w:t>
            </w:r>
            <w:r w:rsidR="00C66CF0" w:rsidRPr="001338D7">
              <w:rPr>
                <w:i/>
                <w:lang w:val="it-IT"/>
              </w:rPr>
              <w:t xml:space="preserve"> </w:t>
            </w:r>
            <w:r w:rsidR="00914D20">
              <w:rPr>
                <w:i/>
                <w:lang w:val="it-IT"/>
              </w:rPr>
              <w:t>complexes with ligands with neutral molecules.</w:t>
            </w:r>
          </w:p>
          <w:p w:rsidR="00F1691F" w:rsidRPr="001338D7" w:rsidRDefault="000B476D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E</w:t>
            </w:r>
            <w:r w:rsidR="00914D20">
              <w:rPr>
                <w:i/>
                <w:lang w:val="it-IT"/>
              </w:rPr>
              <w:t xml:space="preserve">xpand perceptions </w:t>
            </w:r>
            <w:r>
              <w:rPr>
                <w:i/>
                <w:lang w:val="it-IT"/>
              </w:rPr>
              <w:t>of</w:t>
            </w:r>
            <w:r w:rsidR="00914D20">
              <w:rPr>
                <w:i/>
                <w:lang w:val="it-IT"/>
              </w:rPr>
              <w:t xml:space="preserve"> complex compounds </w:t>
            </w:r>
            <w:r>
              <w:rPr>
                <w:i/>
                <w:lang w:val="it-IT"/>
              </w:rPr>
              <w:t>for</w:t>
            </w:r>
            <w:r w:rsidR="00914D20">
              <w:rPr>
                <w:i/>
                <w:lang w:val="it-IT"/>
              </w:rPr>
              <w:t xml:space="preserve">  inorganic complex compounds.</w:t>
            </w:r>
          </w:p>
          <w:p w:rsidR="00914D20" w:rsidRPr="00914D20" w:rsidRDefault="000B476D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G</w:t>
            </w:r>
            <w:r w:rsidR="00914D20" w:rsidRPr="00914D20">
              <w:rPr>
                <w:i/>
                <w:lang w:val="it-IT"/>
              </w:rPr>
              <w:t xml:space="preserve">ain more knowledge about isomery and stereoisomery as a specific phenomenon of these compounds. </w:t>
            </w:r>
          </w:p>
          <w:p w:rsidR="007E4E61" w:rsidRPr="00914D20" w:rsidRDefault="000B476D" w:rsidP="00C66CF0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A</w:t>
            </w:r>
            <w:r w:rsidR="00914D20">
              <w:rPr>
                <w:i/>
                <w:lang w:val="it-IT"/>
              </w:rPr>
              <w:t>dv</w:t>
            </w:r>
            <w:r w:rsidR="007B5EEB">
              <w:rPr>
                <w:i/>
                <w:lang w:val="it-IT"/>
              </w:rPr>
              <w:t>a</w:t>
            </w:r>
            <w:r w:rsidR="00914D20">
              <w:rPr>
                <w:i/>
                <w:lang w:val="it-IT"/>
              </w:rPr>
              <w:t xml:space="preserve">nce the understanding of the theories for explaining types of chemical bonds within the complex compounds. </w:t>
            </w:r>
            <w:r w:rsidR="007E4E61" w:rsidRPr="00914D20">
              <w:rPr>
                <w:i/>
                <w:lang w:val="it-IT"/>
              </w:rPr>
              <w:t>.</w:t>
            </w:r>
          </w:p>
          <w:p w:rsidR="007C3132" w:rsidRPr="000B476D" w:rsidRDefault="000B476D" w:rsidP="000B47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  <w:r>
              <w:rPr>
                <w:i/>
                <w:lang w:val="it-IT"/>
              </w:rPr>
              <w:t>A</w:t>
            </w:r>
            <w:r w:rsidR="00914D20" w:rsidRPr="000B476D">
              <w:rPr>
                <w:i/>
                <w:lang w:val="it-IT"/>
              </w:rPr>
              <w:t xml:space="preserve">pply </w:t>
            </w:r>
            <w:r w:rsidR="00E0642F" w:rsidRPr="000B476D">
              <w:rPr>
                <w:i/>
                <w:lang w:val="it-IT"/>
              </w:rPr>
              <w:t xml:space="preserve">dfifferent </w:t>
            </w:r>
            <w:r w:rsidR="00914D20" w:rsidRPr="000B476D">
              <w:rPr>
                <w:i/>
                <w:lang w:val="it-IT"/>
              </w:rPr>
              <w:t xml:space="preserve">concepts </w:t>
            </w:r>
            <w:r>
              <w:rPr>
                <w:i/>
                <w:lang w:val="it-IT"/>
              </w:rPr>
              <w:t>for</w:t>
            </w:r>
            <w:r w:rsidR="00914D20" w:rsidRPr="000B476D">
              <w:rPr>
                <w:i/>
                <w:lang w:val="it-IT"/>
              </w:rPr>
              <w:t xml:space="preserve"> explain</w:t>
            </w:r>
            <w:r w:rsidR="00E0642F" w:rsidRPr="000B476D">
              <w:rPr>
                <w:i/>
                <w:lang w:val="it-IT"/>
              </w:rPr>
              <w:t>ing</w:t>
            </w:r>
            <w:r w:rsidR="00914D20" w:rsidRPr="000B476D">
              <w:rPr>
                <w:i/>
                <w:lang w:val="it-IT"/>
              </w:rPr>
              <w:t xml:space="preserve"> chemical bonding in complex compounds.</w:t>
            </w:r>
            <w:r w:rsidR="00AB6033" w:rsidRPr="000B476D">
              <w:rPr>
                <w:lang w:val="it-IT"/>
              </w:rPr>
              <w:t xml:space="preserve">    </w:t>
            </w:r>
          </w:p>
        </w:tc>
      </w:tr>
      <w:tr w:rsidR="00CF116F" w:rsidRPr="0056429C" w:rsidTr="00183923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622021" w:rsidRPr="00674FF0" w:rsidRDefault="00622021" w:rsidP="00674FF0">
            <w:pPr>
              <w:ind w:left="300"/>
              <w:jc w:val="both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FF7590" w:rsidRPr="0056429C" w:rsidTr="00CD6E12">
        <w:tc>
          <w:tcPr>
            <w:tcW w:w="8856" w:type="dxa"/>
            <w:gridSpan w:val="4"/>
            <w:shd w:val="clear" w:color="auto" w:fill="D9D9D9"/>
          </w:tcPr>
          <w:p w:rsidR="00FF7590" w:rsidRPr="0056429C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183923" w:rsidRDefault="00674FF0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 contribution (corresponding with their learning outcome)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674F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674FF0">
              <w:rPr>
                <w:rFonts w:ascii="Calibri" w:hAnsi="Calibri" w:cs="Arial"/>
                <w:b/>
                <w:sz w:val="22"/>
                <w:szCs w:val="22"/>
              </w:rPr>
              <w:t>ctivity</w:t>
            </w: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674FF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hour</w:t>
            </w:r>
            <w:r w:rsidR="00183923"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674F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74FF0">
              <w:rPr>
                <w:rFonts w:ascii="Calibri" w:hAnsi="Calibri" w:cs="Arial"/>
                <w:b/>
                <w:sz w:val="22"/>
                <w:szCs w:val="22"/>
              </w:rPr>
              <w:t>Days/week</w:t>
            </w: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674FF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183923" w:rsidP="00674FF0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L</w:t>
            </w:r>
            <w:r w:rsidR="00674FF0">
              <w:rPr>
                <w:rFonts w:ascii="Calibri" w:hAnsi="Calibri" w:cs="Arial"/>
                <w:sz w:val="22"/>
                <w:szCs w:val="22"/>
              </w:rPr>
              <w:t>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2F3434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CF334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83923" w:rsidRPr="007C3132" w:rsidRDefault="0008542B" w:rsidP="000854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Theoretical/laboratory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183923" w:rsidRPr="007C3132" w:rsidRDefault="009374E2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183923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Default="0008542B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F3434">
              <w:rPr>
                <w:rFonts w:ascii="Calibri" w:hAnsi="Calibri" w:cs="Arial"/>
                <w:b/>
                <w:sz w:val="22"/>
                <w:szCs w:val="22"/>
              </w:rPr>
              <w:t>/15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9374E2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</w:tr>
      <w:tr w:rsidR="00FF7590" w:rsidRPr="00777D28" w:rsidTr="00CD6E12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183923">
        <w:tc>
          <w:tcPr>
            <w:tcW w:w="3617" w:type="dxa"/>
          </w:tcPr>
          <w:p w:rsidR="00183923" w:rsidRPr="00777D28" w:rsidRDefault="0008542B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Teaching methodology</w:t>
            </w:r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FB792C" w:rsidRDefault="00183923" w:rsidP="00FB792C">
            <w:pPr>
              <w:pStyle w:val="NoSpacing"/>
              <w:jc w:val="both"/>
            </w:pPr>
          </w:p>
          <w:p w:rsidR="00183923" w:rsidRPr="00FB792C" w:rsidRDefault="007119B4" w:rsidP="00FB792C">
            <w:pPr>
              <w:pStyle w:val="NoSpacing"/>
              <w:jc w:val="both"/>
            </w:pPr>
            <w:r w:rsidRPr="00FB792C">
              <w:t>L</w:t>
            </w:r>
            <w:r w:rsidR="0008542B">
              <w:t>ectures and conversation with students</w:t>
            </w:r>
            <w:r w:rsidR="005142A7">
              <w:t>,</w:t>
            </w:r>
            <w:r w:rsidR="0008542B">
              <w:t xml:space="preserve"> laboratory exercise as well. </w:t>
            </w:r>
          </w:p>
          <w:p w:rsidR="00183923" w:rsidRDefault="00183923" w:rsidP="00FB792C">
            <w:pPr>
              <w:pStyle w:val="NoSpacing"/>
              <w:jc w:val="both"/>
            </w:pPr>
          </w:p>
          <w:p w:rsidR="00132663" w:rsidRPr="00FB792C" w:rsidRDefault="00132663" w:rsidP="00FB792C">
            <w:pPr>
              <w:pStyle w:val="NoSpacing"/>
              <w:jc w:val="both"/>
            </w:pPr>
          </w:p>
        </w:tc>
      </w:tr>
      <w:tr w:rsidR="00183923" w:rsidRPr="007119B4" w:rsidTr="00183923">
        <w:tc>
          <w:tcPr>
            <w:tcW w:w="3617" w:type="dxa"/>
          </w:tcPr>
          <w:p w:rsidR="00183923" w:rsidRPr="00777D28" w:rsidRDefault="0008542B" w:rsidP="0008542B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Method of evaluation</w:t>
            </w:r>
            <w:r w:rsidR="00183923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8542B" w:rsidRPr="0008542B" w:rsidRDefault="0008542B" w:rsidP="0008542B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8542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Method of evaluation will be the test by test - question final exam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  <w:r w:rsidRPr="0008542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taking into account the results of the first evaluation and contribution to the working seminar</w:t>
            </w:r>
          </w:p>
          <w:p w:rsidR="00183923" w:rsidRPr="00FB792C" w:rsidRDefault="00183923" w:rsidP="00FB792C">
            <w:pPr>
              <w:pStyle w:val="NoSpacing"/>
              <w:jc w:val="both"/>
              <w:rPr>
                <w:lang w:val="pt-BR"/>
              </w:rPr>
            </w:pPr>
          </w:p>
        </w:tc>
      </w:tr>
      <w:tr w:rsidR="00183923" w:rsidRPr="00777D28" w:rsidTr="00CD6E12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08542B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Literatur</w:t>
            </w:r>
            <w:r w:rsidR="0008542B">
              <w:rPr>
                <w:rFonts w:ascii="Calibri" w:hAnsi="Calibri"/>
                <w:b/>
              </w:rPr>
              <w:t>e</w:t>
            </w:r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:rsidTr="00183923">
        <w:tc>
          <w:tcPr>
            <w:tcW w:w="3617" w:type="dxa"/>
          </w:tcPr>
          <w:p w:rsidR="00183923" w:rsidRDefault="0008542B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Basic </w:t>
            </w:r>
            <w:r w:rsidR="00183923" w:rsidRPr="00777D28">
              <w:rPr>
                <w:rFonts w:ascii="Calibri" w:hAnsi="Calibri"/>
                <w:b/>
              </w:rPr>
              <w:t>Literatur</w:t>
            </w:r>
            <w:r>
              <w:rPr>
                <w:rFonts w:ascii="Calibri" w:hAnsi="Calibri"/>
                <w:b/>
              </w:rPr>
              <w:t>e</w:t>
            </w:r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  <w:tc>
          <w:tcPr>
            <w:tcW w:w="5239" w:type="dxa"/>
            <w:gridSpan w:val="3"/>
          </w:tcPr>
          <w:p w:rsidR="00070679" w:rsidRPr="00096E1F" w:rsidRDefault="00FF1E8B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</w:pPr>
            <w:r>
              <w:rPr>
                <w:lang w:val="it-IT"/>
              </w:rPr>
              <w:t xml:space="preserve"> </w:t>
            </w:r>
            <w:r w:rsidR="00070679" w:rsidRPr="00096E1F">
              <w:t xml:space="preserve">James E. </w:t>
            </w:r>
            <w:proofErr w:type="spellStart"/>
            <w:r w:rsidR="00070679" w:rsidRPr="00096E1F">
              <w:t>Huheey</w:t>
            </w:r>
            <w:proofErr w:type="spellEnd"/>
            <w:r w:rsidR="00070679" w:rsidRPr="00096E1F">
              <w:t xml:space="preserve">;  Inorganic Chemistry –Principles of structure and reactivity, University of Maryland , </w:t>
            </w:r>
          </w:p>
          <w:p w:rsidR="00880648" w:rsidRDefault="00070679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 xml:space="preserve">'Basic Inorganic Chemistry' - F.A. Cotton, G. Wilkinson and P.L. </w:t>
            </w:r>
            <w:proofErr w:type="spellStart"/>
            <w:r w:rsidRPr="00096E1F">
              <w:t>Gaus</w:t>
            </w:r>
            <w:proofErr w:type="spellEnd"/>
            <w:r w:rsidRPr="00096E1F">
              <w:t xml:space="preserve">, John Wiley and Sons, Inc. 3rd Ed., 1994. </w:t>
            </w:r>
            <w:proofErr w:type="spellStart"/>
            <w:proofErr w:type="gramStart"/>
            <w:r w:rsidRPr="00096E1F">
              <w:t>pps</w:t>
            </w:r>
            <w:proofErr w:type="spellEnd"/>
            <w:proofErr w:type="gramEnd"/>
            <w:r w:rsidRPr="00096E1F">
              <w:t xml:space="preserve"> 165-187, 503-509, 512-517.</w:t>
            </w:r>
          </w:p>
          <w:p w:rsidR="00132663" w:rsidRDefault="00132663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>Columbia Encyclopedia. "</w:t>
            </w:r>
            <w:proofErr w:type="spellStart"/>
            <w:r w:rsidRPr="00096E1F">
              <w:t>Stereoisomers</w:t>
            </w:r>
            <w:proofErr w:type="spellEnd"/>
            <w:r w:rsidRPr="00096E1F">
              <w:t xml:space="preserve">" in </w:t>
            </w:r>
            <w:r w:rsidRPr="00096E1F">
              <w:rPr>
                <w:rStyle w:val="Emphasis"/>
              </w:rPr>
              <w:t>Encyclopedia.com</w:t>
            </w:r>
            <w:r w:rsidRPr="00096E1F">
              <w:t xml:space="preserve">, </w:t>
            </w:r>
            <w:proofErr w:type="spellStart"/>
            <w:r w:rsidRPr="00096E1F">
              <w:t>n.l</w:t>
            </w:r>
            <w:proofErr w:type="spellEnd"/>
            <w:r w:rsidRPr="00096E1F">
              <w:t xml:space="preserve">., </w:t>
            </w:r>
            <w:r w:rsidRPr="00096E1F">
              <w:rPr>
                <w:rStyle w:val="Strong"/>
              </w:rPr>
              <w:t>2005</w:t>
            </w:r>
            <w:r w:rsidRPr="00096E1F">
              <w:t>, December 2. 2008</w:t>
            </w:r>
          </w:p>
          <w:p w:rsidR="00132663" w:rsidRPr="00070679" w:rsidRDefault="00132663" w:rsidP="0007067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96E1F">
              <w:t>'Introduction to Modern Inorganic Chemistry' - K.M. Mackay, R.A. Mackay and W. Henderson, International Textbook Company, 5th Ed., 1996.</w:t>
            </w:r>
          </w:p>
        </w:tc>
      </w:tr>
      <w:tr w:rsidR="00183923" w:rsidRPr="002003B2" w:rsidTr="00183923">
        <w:tc>
          <w:tcPr>
            <w:tcW w:w="3617" w:type="dxa"/>
          </w:tcPr>
          <w:p w:rsidR="00183923" w:rsidRDefault="0008542B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proofErr w:type="spellStart"/>
            <w:r w:rsidR="00183923" w:rsidRPr="00777D28">
              <w:rPr>
                <w:rFonts w:ascii="Calibri" w:hAnsi="Calibri"/>
                <w:b/>
              </w:rPr>
              <w:t>Literatur</w:t>
            </w:r>
            <w:proofErr w:type="spellEnd"/>
            <w:r w:rsidR="00183923" w:rsidRPr="00777D28">
              <w:rPr>
                <w:rFonts w:ascii="Calibri" w:hAnsi="Calibri"/>
                <w:b/>
              </w:rPr>
              <w:t xml:space="preserve">:  </w:t>
            </w:r>
          </w:p>
          <w:p w:rsidR="00987130" w:rsidRPr="00777D28" w:rsidRDefault="00987130" w:rsidP="0018392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</w:t>
            </w:r>
          </w:p>
        </w:tc>
        <w:tc>
          <w:tcPr>
            <w:tcW w:w="5239" w:type="dxa"/>
            <w:gridSpan w:val="3"/>
          </w:tcPr>
          <w:p w:rsidR="00183923" w:rsidRPr="00132663" w:rsidRDefault="00880648" w:rsidP="00880648">
            <w:pPr>
              <w:numPr>
                <w:ilvl w:val="0"/>
                <w:numId w:val="11"/>
              </w:numPr>
              <w:jc w:val="both"/>
            </w:pPr>
            <w:r w:rsidRPr="00132663">
              <w:t xml:space="preserve"> </w:t>
            </w:r>
            <w:proofErr w:type="spellStart"/>
            <w:proofErr w:type="gramStart"/>
            <w:r w:rsidRPr="00132663">
              <w:t>Filipoviq</w:t>
            </w:r>
            <w:proofErr w:type="spellEnd"/>
            <w:r w:rsidRPr="00132663">
              <w:t xml:space="preserve">  S</w:t>
            </w:r>
            <w:proofErr w:type="gramEnd"/>
            <w:r w:rsidRPr="00132663">
              <w:t xml:space="preserve">. </w:t>
            </w:r>
            <w:proofErr w:type="spellStart"/>
            <w:r w:rsidRPr="00132663">
              <w:t>Jovanoviq</w:t>
            </w:r>
            <w:proofErr w:type="spellEnd"/>
            <w:r w:rsidRPr="00132663">
              <w:t xml:space="preserve">; </w:t>
            </w:r>
            <w:proofErr w:type="spellStart"/>
            <w:r w:rsidRPr="00132663">
              <w:t>Opca</w:t>
            </w:r>
            <w:proofErr w:type="spellEnd"/>
            <w:r w:rsidRPr="00132663">
              <w:t xml:space="preserve"> I </w:t>
            </w:r>
            <w:proofErr w:type="spellStart"/>
            <w:r w:rsidRPr="00132663">
              <w:t>anorganska</w:t>
            </w:r>
            <w:proofErr w:type="spellEnd"/>
            <w:r w:rsidRPr="00132663">
              <w:t xml:space="preserve"> </w:t>
            </w:r>
            <w:proofErr w:type="spellStart"/>
            <w:r w:rsidRPr="00132663">
              <w:t>kemija</w:t>
            </w:r>
            <w:proofErr w:type="spellEnd"/>
            <w:r w:rsidRPr="00132663">
              <w:t xml:space="preserve"> . </w:t>
            </w:r>
            <w:proofErr w:type="spellStart"/>
            <w:r w:rsidRPr="00132663">
              <w:t>Skolska</w:t>
            </w:r>
            <w:proofErr w:type="spellEnd"/>
            <w:r w:rsidRPr="00132663">
              <w:t xml:space="preserve"> </w:t>
            </w:r>
            <w:proofErr w:type="spellStart"/>
            <w:r w:rsidRPr="00132663">
              <w:t>Knjiga</w:t>
            </w:r>
            <w:proofErr w:type="spellEnd"/>
            <w:r w:rsidRPr="00132663">
              <w:t xml:space="preserve"> Zagreb (1985)</w:t>
            </w:r>
          </w:p>
          <w:p w:rsidR="00C57FFC" w:rsidRPr="002003B2" w:rsidRDefault="00C57FFC" w:rsidP="00880648">
            <w:pPr>
              <w:numPr>
                <w:ilvl w:val="0"/>
                <w:numId w:val="11"/>
              </w:numPr>
              <w:jc w:val="both"/>
            </w:pPr>
            <w:r w:rsidRPr="00132663">
              <w:rPr>
                <w:lang w:val="it-IT"/>
              </w:rPr>
              <w:t>F. Basolo and R. Johnson, Cordination Chemistry, W. A. Benjamin., Inc, New York- Amsterdam 1064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08542B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Teaching designed plan</w:t>
            </w:r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CD6E12">
        <w:tc>
          <w:tcPr>
            <w:tcW w:w="2718" w:type="dxa"/>
            <w:shd w:val="clear" w:color="auto" w:fill="D9D9D9"/>
          </w:tcPr>
          <w:p w:rsidR="00D67209" w:rsidRPr="00777D28" w:rsidRDefault="0008542B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08542B" w:rsidP="00D67209">
            <w:pPr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Lecture: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08542B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 one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93490" w:rsidRPr="00104AFB" w:rsidRDefault="0008542B" w:rsidP="00104AF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Introduction to the plan and program of module</w:t>
            </w:r>
          </w:p>
          <w:p w:rsidR="0008542B" w:rsidRPr="00104AFB" w:rsidRDefault="0008542B" w:rsidP="0008542B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Aims, purposes and objectives of this module</w:t>
            </w:r>
          </w:p>
          <w:p w:rsidR="00070679" w:rsidRPr="00070679" w:rsidRDefault="0008542B" w:rsidP="000706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Introduc</w:t>
            </w:r>
            <w:r w:rsidR="00070679">
              <w:rPr>
                <w:lang w:val="it-IT"/>
              </w:rPr>
              <w:t>tion of</w:t>
            </w:r>
            <w:r>
              <w:rPr>
                <w:lang w:val="it-IT"/>
              </w:rPr>
              <w:t xml:space="preserve"> the literature </w:t>
            </w:r>
          </w:p>
          <w:p w:rsidR="00104AFB" w:rsidRPr="0056429C" w:rsidRDefault="007F04C9" w:rsidP="000706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Introduction</w:t>
            </w:r>
            <w:r w:rsidR="00070679">
              <w:rPr>
                <w:lang w:val="it-IT"/>
              </w:rPr>
              <w:t xml:space="preserve"> of the plan/programm </w:t>
            </w:r>
            <w:r>
              <w:rPr>
                <w:lang w:val="it-IT"/>
              </w:rPr>
              <w:t xml:space="preserve">of preparative exercises.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7F04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 two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0679" w:rsidRDefault="00070679" w:rsidP="0007067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Introduction to the ster</w:t>
            </w:r>
            <w:r w:rsidR="00132663">
              <w:rPr>
                <w:lang w:val="it-IT"/>
              </w:rPr>
              <w:t>e</w:t>
            </w:r>
            <w:r>
              <w:rPr>
                <w:lang w:val="it-IT"/>
              </w:rPr>
              <w:t>oisomery of complex compounds</w:t>
            </w:r>
          </w:p>
          <w:p w:rsidR="00B61D8B" w:rsidRPr="00070679" w:rsidRDefault="00132663" w:rsidP="00070679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Steroiso</w:t>
            </w:r>
            <w:r w:rsidR="00070679">
              <w:rPr>
                <w:lang w:val="it-IT"/>
              </w:rPr>
              <w:t>mers of complex compounds</w:t>
            </w:r>
            <w:r w:rsidR="00B61D8B" w:rsidRPr="00070679">
              <w:rPr>
                <w:lang w:val="it-IT"/>
              </w:rPr>
              <w:t xml:space="preserve"> 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7F04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 three</w:t>
            </w:r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A3E77" w:rsidRDefault="00BF7032" w:rsidP="00925F47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Coordinative compounds </w:t>
            </w:r>
          </w:p>
          <w:p w:rsidR="0043330A" w:rsidRPr="00417C12" w:rsidRDefault="00417C12" w:rsidP="00417C12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t>MA</w:t>
            </w:r>
            <w:r w:rsidRPr="00D07000">
              <w:rPr>
                <w:vertAlign w:val="subscript"/>
              </w:rPr>
              <w:t>2</w:t>
            </w:r>
            <w:r>
              <w:t>B</w:t>
            </w:r>
            <w:r w:rsidRPr="00D07000">
              <w:rPr>
                <w:vertAlign w:val="subscript"/>
              </w:rPr>
              <w:t>2</w:t>
            </w:r>
            <w:r>
              <w:t>, MA</w:t>
            </w:r>
            <w:r w:rsidRPr="00417C12">
              <w:rPr>
                <w:vertAlign w:val="subscript"/>
              </w:rPr>
              <w:t>3</w:t>
            </w:r>
            <w:r>
              <w:t>B</w:t>
            </w:r>
            <w:r w:rsidRPr="00417C12">
              <w:rPr>
                <w:vertAlign w:val="subscript"/>
              </w:rPr>
              <w:t>3</w:t>
            </w:r>
            <w:r>
              <w:t>, MA</w:t>
            </w:r>
            <w:r w:rsidRPr="00841DB6">
              <w:rPr>
                <w:vertAlign w:val="subscript"/>
              </w:rPr>
              <w:t>4</w:t>
            </w:r>
            <w:r>
              <w:t>B</w:t>
            </w:r>
            <w:r w:rsidRPr="00841DB6">
              <w:rPr>
                <w:vertAlign w:val="subscript"/>
              </w:rPr>
              <w:t>2</w:t>
            </w:r>
            <w:r>
              <w:t>, MA</w:t>
            </w:r>
            <w:r w:rsidRPr="00D65517">
              <w:rPr>
                <w:vertAlign w:val="subscript"/>
              </w:rPr>
              <w:t>5</w:t>
            </w:r>
            <w:r>
              <w:t xml:space="preserve">B,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7F04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 four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04F60" w:rsidRPr="00417C12" w:rsidRDefault="00417C12" w:rsidP="00417C1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Isomerism in coordinative compounds</w:t>
            </w:r>
            <w:r w:rsidR="00F0428D" w:rsidRPr="00F0428D">
              <w:rPr>
                <w:lang w:val="it-IT"/>
              </w:rPr>
              <w:t xml:space="preserve"> </w:t>
            </w:r>
          </w:p>
          <w:p w:rsidR="00417C12" w:rsidRPr="00417C12" w:rsidRDefault="00417C12" w:rsidP="00417C12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417C12">
              <w:rPr>
                <w:lang w:val="it-IT"/>
              </w:rPr>
              <w:t>Structural isomerism</w:t>
            </w:r>
            <w:r>
              <w:rPr>
                <w:lang w:val="it-IT"/>
              </w:rPr>
              <w:t xml:space="preserve">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7F04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 five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7F04C9" w:rsidRPr="007F04C9" w:rsidRDefault="002133DC" w:rsidP="003D7CE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Molten salts</w:t>
            </w:r>
          </w:p>
          <w:p w:rsidR="003D7CE5" w:rsidRPr="007F04C9" w:rsidRDefault="002133DC" w:rsidP="003D7CE5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Nefeloauxteic effect</w:t>
            </w:r>
          </w:p>
          <w:p w:rsidR="00273075" w:rsidRPr="00B617F4" w:rsidRDefault="002133DC" w:rsidP="00FA26C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Molecular orbital theory</w:t>
            </w:r>
            <w:r w:rsidR="00273075">
              <w:rPr>
                <w:lang w:val="it-IT"/>
              </w:rPr>
              <w:t xml:space="preserve"> 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FA26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 six</w:t>
            </w:r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B81941" w:rsidRPr="002133DC" w:rsidRDefault="002133DC" w:rsidP="002133D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Coordination numbers 3,4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FA26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Week seven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B617F4" w:rsidRPr="00CA7D8A" w:rsidRDefault="00FA26C9" w:rsidP="00070679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Fi</w:t>
            </w:r>
            <w:r w:rsidR="00070679">
              <w:rPr>
                <w:rFonts w:ascii="Calibri" w:hAnsi="Calibri"/>
                <w:b/>
                <w:lang w:val="it-IT"/>
              </w:rPr>
              <w:t>r</w:t>
            </w:r>
            <w:r>
              <w:rPr>
                <w:rFonts w:ascii="Calibri" w:hAnsi="Calibri"/>
                <w:b/>
                <w:lang w:val="it-IT"/>
              </w:rPr>
              <w:t>st evaluation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Default="00FA26C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Week eight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  <w:p w:rsidR="00352E05" w:rsidRPr="00777D28" w:rsidRDefault="00352E05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             </w:t>
            </w:r>
          </w:p>
        </w:tc>
        <w:tc>
          <w:tcPr>
            <w:tcW w:w="6138" w:type="dxa"/>
          </w:tcPr>
          <w:p w:rsidR="00273075" w:rsidRPr="00C969C7" w:rsidRDefault="002133DC" w:rsidP="002133DC">
            <w:pPr>
              <w:numPr>
                <w:ilvl w:val="0"/>
                <w:numId w:val="3"/>
              </w:numPr>
              <w:jc w:val="both"/>
              <w:rPr>
                <w:b/>
                <w:lang w:val="it-IT"/>
              </w:rPr>
            </w:pPr>
            <w:r w:rsidRPr="00C969C7">
              <w:rPr>
                <w:lang w:val="it-IT"/>
              </w:rPr>
              <w:t>Coordination compounds 5,6</w:t>
            </w: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FA26C9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 nine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  <w:r w:rsidR="00D67209"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132663" w:rsidRPr="00132663" w:rsidRDefault="00132663" w:rsidP="00132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 w:rsidRPr="00132663">
              <w:rPr>
                <w:lang w:val="it-IT"/>
              </w:rPr>
              <w:t xml:space="preserve"> Absolute configuration of complexes</w:t>
            </w:r>
          </w:p>
          <w:p w:rsidR="002003B2" w:rsidRPr="00CA7D8A" w:rsidRDefault="002003B2" w:rsidP="002133DC">
            <w:pPr>
              <w:jc w:val="both"/>
              <w:rPr>
                <w:rFonts w:ascii="Calibri" w:hAnsi="Calibri"/>
                <w:b/>
                <w:lang w:val="it-IT"/>
              </w:rPr>
            </w:pP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382EAF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 ten</w:t>
            </w:r>
            <w:r w:rsidR="00D67209"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133DC" w:rsidRPr="0005151E" w:rsidRDefault="002133DC" w:rsidP="00382EA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Coordination numbers 7 and 8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382EAF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Week eleven</w:t>
            </w:r>
            <w:r w:rsidR="00D67209"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382EAF" w:rsidRPr="00382EAF" w:rsidRDefault="002133DC" w:rsidP="0005151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>
              <w:rPr>
                <w:lang w:val="it-IT"/>
              </w:rPr>
              <w:t>Structural equilibras of complexes</w:t>
            </w:r>
          </w:p>
          <w:p w:rsidR="002B52B0" w:rsidRPr="006B6A1B" w:rsidRDefault="002B52B0" w:rsidP="002133DC">
            <w:pPr>
              <w:ind w:left="360"/>
              <w:jc w:val="both"/>
              <w:rPr>
                <w:rFonts w:ascii="Calibri" w:hAnsi="Calibri"/>
                <w:b/>
                <w:lang w:val="it-IT"/>
              </w:rPr>
            </w:pPr>
          </w:p>
        </w:tc>
      </w:tr>
      <w:tr w:rsidR="00D67209" w:rsidRPr="002003B2" w:rsidTr="00D67209">
        <w:tc>
          <w:tcPr>
            <w:tcW w:w="2718" w:type="dxa"/>
          </w:tcPr>
          <w:p w:rsidR="00D67209" w:rsidRPr="00777D28" w:rsidRDefault="00382EAF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 twelve</w:t>
            </w:r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132663" w:rsidRPr="00132663" w:rsidRDefault="002133DC" w:rsidP="00A30312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2133DC">
              <w:rPr>
                <w:lang w:val="it-IT"/>
              </w:rPr>
              <w:t xml:space="preserve">Kinetics </w:t>
            </w:r>
            <w:r w:rsidR="00132663" w:rsidRPr="002133DC">
              <w:rPr>
                <w:lang w:val="it-IT"/>
              </w:rPr>
              <w:t xml:space="preserve"> of electrode</w:t>
            </w:r>
            <w:r w:rsidR="00132663">
              <w:rPr>
                <w:lang w:val="it-IT"/>
              </w:rPr>
              <w:t xml:space="preserve"> </w:t>
            </w:r>
            <w:r w:rsidRPr="002133DC">
              <w:rPr>
                <w:lang w:val="it-IT"/>
              </w:rPr>
              <w:t xml:space="preserve">reaction </w:t>
            </w:r>
            <w:r w:rsidR="00132663">
              <w:rPr>
                <w:lang w:val="it-IT"/>
              </w:rPr>
              <w:t xml:space="preserve">/ 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382EAF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 thirteen</w:t>
            </w:r>
            <w:r w:rsidR="00D67209"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BE2936" w:rsidRDefault="00F15C72" w:rsidP="00D07B3B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Kinetics and rate reactions of octaedral substitution</w:t>
            </w:r>
          </w:p>
          <w:p w:rsidR="00F15C72" w:rsidRPr="006B6A1B" w:rsidRDefault="00F15C72" w:rsidP="00D07B3B">
            <w:pPr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Reaction of </w:t>
            </w:r>
            <w:r w:rsidR="00DC0A7E">
              <w:rPr>
                <w:lang w:val="it-IT"/>
              </w:rPr>
              <w:t>aqua ion substitution, substitution from aqua to aqua ion</w:t>
            </w:r>
          </w:p>
        </w:tc>
      </w:tr>
      <w:tr w:rsidR="00D67209" w:rsidRPr="00777D28" w:rsidTr="00D67209">
        <w:tc>
          <w:tcPr>
            <w:tcW w:w="2718" w:type="dxa"/>
          </w:tcPr>
          <w:p w:rsidR="00D67209" w:rsidRPr="00777D28" w:rsidRDefault="00D07B3B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Week fourteen</w:t>
            </w:r>
            <w:r w:rsidR="00D67209"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D07B3B" w:rsidRPr="00A715D1" w:rsidRDefault="00D07B3B" w:rsidP="00D07B3B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07B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Ligand</w:t>
            </w:r>
            <w:proofErr w:type="spellEnd"/>
            <w:r w:rsidRPr="00D07B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complexes containing unsaturated hydrocarbons</w:t>
            </w:r>
          </w:p>
          <w:p w:rsidR="00D07B3B" w:rsidRPr="00D07B3B" w:rsidRDefault="00D07B3B" w:rsidP="00A715D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07B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Complex compounds with different fragrant </w:t>
            </w:r>
            <w:proofErr w:type="spellStart"/>
            <w:r w:rsidRPr="00D07B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ligands</w:t>
            </w:r>
            <w:proofErr w:type="spellEnd"/>
            <w:r w:rsidRPr="00D07B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BE2936" w:rsidRPr="00FC40B3" w:rsidRDefault="00BE2936" w:rsidP="00D07B3B">
            <w:pPr>
              <w:ind w:left="720"/>
              <w:jc w:val="both"/>
              <w:rPr>
                <w:rFonts w:ascii="Calibri" w:hAnsi="Calibri"/>
                <w:lang w:val="it-IT"/>
              </w:rPr>
            </w:pPr>
          </w:p>
        </w:tc>
      </w:tr>
      <w:tr w:rsidR="00D67209" w:rsidRPr="0056429C" w:rsidTr="00D67209">
        <w:tc>
          <w:tcPr>
            <w:tcW w:w="2718" w:type="dxa"/>
          </w:tcPr>
          <w:p w:rsidR="00D67209" w:rsidRPr="00777D28" w:rsidRDefault="00D07B3B" w:rsidP="00D6720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Week fifteen</w:t>
            </w:r>
            <w:r w:rsidR="00D67209"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2003B2" w:rsidRPr="00A30312" w:rsidRDefault="00A30312" w:rsidP="00BE2936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lang w:val="it-IT"/>
              </w:rPr>
            </w:pPr>
            <w:r w:rsidRPr="00A30312">
              <w:rPr>
                <w:b/>
                <w:lang w:val="it-IT"/>
              </w:rPr>
              <w:t>Final evaluation</w:t>
            </w:r>
          </w:p>
          <w:p w:rsidR="002003B2" w:rsidRPr="00B617F4" w:rsidRDefault="002003B2" w:rsidP="002003B2">
            <w:pPr>
              <w:jc w:val="both"/>
              <w:rPr>
                <w:rFonts w:ascii="Calibri" w:hAnsi="Calibri"/>
                <w:b/>
                <w:lang w:val="it-IT"/>
              </w:rPr>
            </w:pPr>
          </w:p>
        </w:tc>
      </w:tr>
    </w:tbl>
    <w:p w:rsidR="00CF116F" w:rsidRPr="0056429C" w:rsidRDefault="00CF116F" w:rsidP="00D67209">
      <w:pPr>
        <w:pStyle w:val="NoSpacing"/>
        <w:rPr>
          <w:szCs w:val="28"/>
          <w:lang w:val="pt-BR"/>
        </w:rPr>
      </w:pPr>
    </w:p>
    <w:p w:rsidR="006F116D" w:rsidRPr="0056429C" w:rsidRDefault="006F116D">
      <w:pPr>
        <w:rPr>
          <w:rFonts w:ascii="Calibri" w:hAnsi="Calibri"/>
          <w:b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D07B3B" w:rsidP="00D07B3B">
            <w:pPr>
              <w:jc w:val="center"/>
              <w:rPr>
                <w:rFonts w:ascii="Calibri" w:hAnsi="Calibri"/>
                <w:b/>
                <w:lang w:val="nb-NO"/>
              </w:rPr>
            </w:pPr>
            <w:r>
              <w:rPr>
                <w:rFonts w:ascii="Calibri" w:hAnsi="Calibri"/>
                <w:b/>
                <w:lang w:val="nb-NO"/>
              </w:rPr>
              <w:t>Academic policies and the codes of conduct</w:t>
            </w:r>
            <w:r w:rsidR="00CF116F" w:rsidRPr="00F878D3">
              <w:rPr>
                <w:rFonts w:ascii="Calibri" w:hAnsi="Calibri"/>
                <w:b/>
                <w:lang w:val="nb-NO"/>
              </w:rPr>
              <w:t>:</w:t>
            </w:r>
          </w:p>
        </w:tc>
      </w:tr>
      <w:tr w:rsidR="00CF116F" w:rsidRPr="00B81AEA" w:rsidTr="007E6202">
        <w:trPr>
          <w:trHeight w:val="1088"/>
        </w:trPr>
        <w:tc>
          <w:tcPr>
            <w:tcW w:w="8856" w:type="dxa"/>
          </w:tcPr>
          <w:p w:rsidR="005A546B" w:rsidRPr="00B81AEA" w:rsidRDefault="00D07B3B" w:rsidP="00A30312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>The presence of students in lectures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as well as in laboratory </w:t>
            </w:r>
            <w:proofErr w:type="gramStart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an  obligation. It will develop students property </w:t>
            </w:r>
            <w:proofErr w:type="gramStart"/>
            <w:r w:rsidR="00A3031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interact</w:t>
            </w:r>
            <w:proofErr w:type="gramEnd"/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conducte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of the course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and help them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r w:rsidR="00A3031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perceive phenomena that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 w:rsidR="00A303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within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>complex compounds. While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EA" w:rsidRPr="00B81AEA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gramEnd"/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will make the theory clear especially in the cas</w:t>
            </w:r>
            <w:r w:rsidR="00B81AEA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es where complex </w:t>
            </w:r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compounds have same formulas but different </w:t>
            </w:r>
            <w:r w:rsidR="00B81AEA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properties and </w:t>
            </w:r>
            <w:proofErr w:type="spellStart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="00A715D1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EA" w:rsidRPr="00B81A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hey must synthesize </w:t>
            </w:r>
            <w:r w:rsidR="00B81AEA"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compounds and determine their properties according to the laboratory procedures. 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Arrival time schedule of lectures and exercises should </w:t>
            </w:r>
            <w:r w:rsidR="00A3031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B81AEA">
              <w:rPr>
                <w:rFonts w:ascii="Times New Roman" w:hAnsi="Times New Roman" w:cs="Times New Roman"/>
                <w:sz w:val="24"/>
                <w:szCs w:val="24"/>
              </w:rPr>
              <w:t xml:space="preserve"> respected</w:t>
            </w:r>
            <w:r w:rsidR="00A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116F" w:rsidRPr="00B81AEA" w:rsidRDefault="00CF116F">
      <w:pPr>
        <w:rPr>
          <w:rFonts w:ascii="Calibri" w:hAnsi="Calibri"/>
          <w:b/>
          <w:sz w:val="28"/>
          <w:szCs w:val="28"/>
          <w:lang w:val="it-IT"/>
        </w:rPr>
      </w:pPr>
    </w:p>
    <w:p w:rsidR="00B815D1" w:rsidRPr="00B617F4" w:rsidRDefault="00B815D1">
      <w:pPr>
        <w:rPr>
          <w:rFonts w:ascii="Calibri" w:hAnsi="Calibri"/>
          <w:b/>
          <w:sz w:val="28"/>
          <w:szCs w:val="28"/>
          <w:lang w:val="it-IT"/>
        </w:rPr>
      </w:pPr>
    </w:p>
    <w:sectPr w:rsidR="00B815D1" w:rsidRPr="00B617F4" w:rsidSect="00AD496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6D" w:rsidRDefault="000B476D">
      <w:r>
        <w:separator/>
      </w:r>
    </w:p>
  </w:endnote>
  <w:endnote w:type="continuationSeparator" w:id="1">
    <w:p w:rsidR="000B476D" w:rsidRDefault="000B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D" w:rsidRDefault="0010779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76D" w:rsidRDefault="000B476D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D" w:rsidRDefault="00107797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7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312">
      <w:rPr>
        <w:rStyle w:val="PageNumber"/>
        <w:noProof/>
      </w:rPr>
      <w:t>2</w:t>
    </w:r>
    <w:r>
      <w:rPr>
        <w:rStyle w:val="PageNumber"/>
      </w:rPr>
      <w:fldChar w:fldCharType="end"/>
    </w:r>
  </w:p>
  <w:p w:rsidR="000B476D" w:rsidRDefault="000B476D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6D" w:rsidRDefault="000B476D">
      <w:r>
        <w:separator/>
      </w:r>
    </w:p>
  </w:footnote>
  <w:footnote w:type="continuationSeparator" w:id="1">
    <w:p w:rsidR="000B476D" w:rsidRDefault="000B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8E1"/>
    <w:multiLevelType w:val="hybridMultilevel"/>
    <w:tmpl w:val="A0880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47394"/>
    <w:multiLevelType w:val="hybridMultilevel"/>
    <w:tmpl w:val="C236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4D5"/>
    <w:multiLevelType w:val="hybridMultilevel"/>
    <w:tmpl w:val="82D23D42"/>
    <w:lvl w:ilvl="0" w:tplc="33EA20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E425507"/>
    <w:multiLevelType w:val="hybridMultilevel"/>
    <w:tmpl w:val="9312C2EA"/>
    <w:lvl w:ilvl="0" w:tplc="506CD1B4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B05F82"/>
    <w:multiLevelType w:val="hybridMultilevel"/>
    <w:tmpl w:val="004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42C3"/>
    <w:multiLevelType w:val="hybridMultilevel"/>
    <w:tmpl w:val="A058F43C"/>
    <w:lvl w:ilvl="0" w:tplc="B4CA59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5636"/>
    <w:multiLevelType w:val="hybridMultilevel"/>
    <w:tmpl w:val="9FAE4914"/>
    <w:lvl w:ilvl="0" w:tplc="6BAAB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8262F"/>
    <w:multiLevelType w:val="multilevel"/>
    <w:tmpl w:val="096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436E1"/>
    <w:multiLevelType w:val="hybridMultilevel"/>
    <w:tmpl w:val="B5F277E8"/>
    <w:lvl w:ilvl="0" w:tplc="854C5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60371E8"/>
    <w:multiLevelType w:val="hybridMultilevel"/>
    <w:tmpl w:val="D3760256"/>
    <w:lvl w:ilvl="0" w:tplc="209C6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96A4E"/>
    <w:multiLevelType w:val="hybridMultilevel"/>
    <w:tmpl w:val="8CCCD3A4"/>
    <w:lvl w:ilvl="0" w:tplc="03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E6691"/>
    <w:multiLevelType w:val="hybridMultilevel"/>
    <w:tmpl w:val="30F23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96AAA"/>
    <w:multiLevelType w:val="hybridMultilevel"/>
    <w:tmpl w:val="264C776A"/>
    <w:lvl w:ilvl="0" w:tplc="1952B1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008F"/>
    <w:rsid w:val="00000E44"/>
    <w:rsid w:val="00004B39"/>
    <w:rsid w:val="00004F60"/>
    <w:rsid w:val="00012981"/>
    <w:rsid w:val="00031020"/>
    <w:rsid w:val="00043592"/>
    <w:rsid w:val="0005151E"/>
    <w:rsid w:val="00060E9F"/>
    <w:rsid w:val="00070679"/>
    <w:rsid w:val="000707AF"/>
    <w:rsid w:val="00073072"/>
    <w:rsid w:val="00077BA4"/>
    <w:rsid w:val="0008542B"/>
    <w:rsid w:val="000B476D"/>
    <w:rsid w:val="00102557"/>
    <w:rsid w:val="00104AFB"/>
    <w:rsid w:val="00105C2D"/>
    <w:rsid w:val="00107797"/>
    <w:rsid w:val="00124BA4"/>
    <w:rsid w:val="00132604"/>
    <w:rsid w:val="00132663"/>
    <w:rsid w:val="001338D7"/>
    <w:rsid w:val="0013689F"/>
    <w:rsid w:val="00183923"/>
    <w:rsid w:val="001A06AD"/>
    <w:rsid w:val="002003B2"/>
    <w:rsid w:val="002133DC"/>
    <w:rsid w:val="00214FD7"/>
    <w:rsid w:val="0021580C"/>
    <w:rsid w:val="002177ED"/>
    <w:rsid w:val="00226502"/>
    <w:rsid w:val="002466FE"/>
    <w:rsid w:val="002475DD"/>
    <w:rsid w:val="002525B1"/>
    <w:rsid w:val="002610A3"/>
    <w:rsid w:val="00273075"/>
    <w:rsid w:val="00274739"/>
    <w:rsid w:val="00282CBC"/>
    <w:rsid w:val="00293490"/>
    <w:rsid w:val="002B52B0"/>
    <w:rsid w:val="002C00FA"/>
    <w:rsid w:val="002D3069"/>
    <w:rsid w:val="002D6ADB"/>
    <w:rsid w:val="002E256E"/>
    <w:rsid w:val="002E270F"/>
    <w:rsid w:val="002F3434"/>
    <w:rsid w:val="0030354C"/>
    <w:rsid w:val="00305DB1"/>
    <w:rsid w:val="00346402"/>
    <w:rsid w:val="00351DE8"/>
    <w:rsid w:val="00352E05"/>
    <w:rsid w:val="00381B41"/>
    <w:rsid w:val="00382EAF"/>
    <w:rsid w:val="003955CD"/>
    <w:rsid w:val="003B625C"/>
    <w:rsid w:val="003C3E42"/>
    <w:rsid w:val="003C4CBF"/>
    <w:rsid w:val="003D72F3"/>
    <w:rsid w:val="003D7C78"/>
    <w:rsid w:val="003D7CE5"/>
    <w:rsid w:val="003E3193"/>
    <w:rsid w:val="0040786A"/>
    <w:rsid w:val="00417C12"/>
    <w:rsid w:val="0043330A"/>
    <w:rsid w:val="004546D4"/>
    <w:rsid w:val="00467E12"/>
    <w:rsid w:val="004A7B36"/>
    <w:rsid w:val="004C0CCA"/>
    <w:rsid w:val="004E3823"/>
    <w:rsid w:val="004E48BF"/>
    <w:rsid w:val="00500E0C"/>
    <w:rsid w:val="005142A7"/>
    <w:rsid w:val="005433F7"/>
    <w:rsid w:val="00544761"/>
    <w:rsid w:val="0056429C"/>
    <w:rsid w:val="00566C28"/>
    <w:rsid w:val="0058380C"/>
    <w:rsid w:val="005A1165"/>
    <w:rsid w:val="005A546B"/>
    <w:rsid w:val="005B7D25"/>
    <w:rsid w:val="005D41BE"/>
    <w:rsid w:val="00603DD2"/>
    <w:rsid w:val="00603FA2"/>
    <w:rsid w:val="00612693"/>
    <w:rsid w:val="00622021"/>
    <w:rsid w:val="00622BE4"/>
    <w:rsid w:val="00624FE8"/>
    <w:rsid w:val="00633731"/>
    <w:rsid w:val="0065137C"/>
    <w:rsid w:val="00651BFC"/>
    <w:rsid w:val="006551A2"/>
    <w:rsid w:val="006570C9"/>
    <w:rsid w:val="00665F80"/>
    <w:rsid w:val="00666220"/>
    <w:rsid w:val="00674FF0"/>
    <w:rsid w:val="006B6A1B"/>
    <w:rsid w:val="006C49F7"/>
    <w:rsid w:val="006D7FB4"/>
    <w:rsid w:val="006F116D"/>
    <w:rsid w:val="007038CC"/>
    <w:rsid w:val="007119B4"/>
    <w:rsid w:val="007371A4"/>
    <w:rsid w:val="00746D8D"/>
    <w:rsid w:val="00777D28"/>
    <w:rsid w:val="00781805"/>
    <w:rsid w:val="0078455B"/>
    <w:rsid w:val="007B1510"/>
    <w:rsid w:val="007B5EEB"/>
    <w:rsid w:val="007B68A2"/>
    <w:rsid w:val="007C3132"/>
    <w:rsid w:val="007C5ED3"/>
    <w:rsid w:val="007E4E61"/>
    <w:rsid w:val="007E6202"/>
    <w:rsid w:val="007F04C9"/>
    <w:rsid w:val="007F18B2"/>
    <w:rsid w:val="007F46C5"/>
    <w:rsid w:val="008410F8"/>
    <w:rsid w:val="008441A6"/>
    <w:rsid w:val="00854641"/>
    <w:rsid w:val="00880648"/>
    <w:rsid w:val="008829BF"/>
    <w:rsid w:val="008957B8"/>
    <w:rsid w:val="008A1E7B"/>
    <w:rsid w:val="008A3C12"/>
    <w:rsid w:val="008A439B"/>
    <w:rsid w:val="008A716D"/>
    <w:rsid w:val="008D0608"/>
    <w:rsid w:val="008E7B34"/>
    <w:rsid w:val="008F642F"/>
    <w:rsid w:val="00903474"/>
    <w:rsid w:val="00914D20"/>
    <w:rsid w:val="00925F47"/>
    <w:rsid w:val="00927634"/>
    <w:rsid w:val="009374E2"/>
    <w:rsid w:val="00943070"/>
    <w:rsid w:val="009603AE"/>
    <w:rsid w:val="00973760"/>
    <w:rsid w:val="00980745"/>
    <w:rsid w:val="00984DA5"/>
    <w:rsid w:val="00987130"/>
    <w:rsid w:val="00995C4F"/>
    <w:rsid w:val="00996C01"/>
    <w:rsid w:val="009B3F0A"/>
    <w:rsid w:val="009B6D7B"/>
    <w:rsid w:val="009E2AF8"/>
    <w:rsid w:val="009E6251"/>
    <w:rsid w:val="00A03914"/>
    <w:rsid w:val="00A0589E"/>
    <w:rsid w:val="00A06D0E"/>
    <w:rsid w:val="00A14EA1"/>
    <w:rsid w:val="00A30312"/>
    <w:rsid w:val="00A3309A"/>
    <w:rsid w:val="00A545BA"/>
    <w:rsid w:val="00A662A0"/>
    <w:rsid w:val="00A67002"/>
    <w:rsid w:val="00A715D1"/>
    <w:rsid w:val="00A73393"/>
    <w:rsid w:val="00A75F3F"/>
    <w:rsid w:val="00A80437"/>
    <w:rsid w:val="00A83B93"/>
    <w:rsid w:val="00AA2C57"/>
    <w:rsid w:val="00AA3C2B"/>
    <w:rsid w:val="00AB6033"/>
    <w:rsid w:val="00AB68DC"/>
    <w:rsid w:val="00AC08ED"/>
    <w:rsid w:val="00AD4962"/>
    <w:rsid w:val="00AF2351"/>
    <w:rsid w:val="00B35215"/>
    <w:rsid w:val="00B358AC"/>
    <w:rsid w:val="00B401DC"/>
    <w:rsid w:val="00B617F4"/>
    <w:rsid w:val="00B61D8B"/>
    <w:rsid w:val="00B815D1"/>
    <w:rsid w:val="00B81941"/>
    <w:rsid w:val="00B81AEA"/>
    <w:rsid w:val="00B86165"/>
    <w:rsid w:val="00BA3E77"/>
    <w:rsid w:val="00BA6E9C"/>
    <w:rsid w:val="00BB1A1A"/>
    <w:rsid w:val="00BB769E"/>
    <w:rsid w:val="00BE2936"/>
    <w:rsid w:val="00BE53DA"/>
    <w:rsid w:val="00BF7032"/>
    <w:rsid w:val="00C0078B"/>
    <w:rsid w:val="00C01A3B"/>
    <w:rsid w:val="00C03B37"/>
    <w:rsid w:val="00C57FFC"/>
    <w:rsid w:val="00C6155B"/>
    <w:rsid w:val="00C66CF0"/>
    <w:rsid w:val="00C969C7"/>
    <w:rsid w:val="00CA7465"/>
    <w:rsid w:val="00CA7D8A"/>
    <w:rsid w:val="00CB1E37"/>
    <w:rsid w:val="00CC1FCA"/>
    <w:rsid w:val="00CD6E12"/>
    <w:rsid w:val="00CF116F"/>
    <w:rsid w:val="00CF3342"/>
    <w:rsid w:val="00CF5ABA"/>
    <w:rsid w:val="00CF5D5D"/>
    <w:rsid w:val="00D07B3B"/>
    <w:rsid w:val="00D10BC6"/>
    <w:rsid w:val="00D13A4A"/>
    <w:rsid w:val="00D208F8"/>
    <w:rsid w:val="00D66A35"/>
    <w:rsid w:val="00D67209"/>
    <w:rsid w:val="00D75543"/>
    <w:rsid w:val="00D83CA4"/>
    <w:rsid w:val="00DA7207"/>
    <w:rsid w:val="00DB2823"/>
    <w:rsid w:val="00DB74E2"/>
    <w:rsid w:val="00DC0A7E"/>
    <w:rsid w:val="00DC71BC"/>
    <w:rsid w:val="00DE73F1"/>
    <w:rsid w:val="00DF277C"/>
    <w:rsid w:val="00DF6543"/>
    <w:rsid w:val="00E0642F"/>
    <w:rsid w:val="00E479E3"/>
    <w:rsid w:val="00E64FDE"/>
    <w:rsid w:val="00E93E60"/>
    <w:rsid w:val="00EB06AE"/>
    <w:rsid w:val="00EB1BC7"/>
    <w:rsid w:val="00EC1058"/>
    <w:rsid w:val="00EF57F9"/>
    <w:rsid w:val="00F04222"/>
    <w:rsid w:val="00F0428D"/>
    <w:rsid w:val="00F07307"/>
    <w:rsid w:val="00F07653"/>
    <w:rsid w:val="00F15C72"/>
    <w:rsid w:val="00F1691F"/>
    <w:rsid w:val="00F34158"/>
    <w:rsid w:val="00F47480"/>
    <w:rsid w:val="00F5660C"/>
    <w:rsid w:val="00F878D3"/>
    <w:rsid w:val="00FA26C9"/>
    <w:rsid w:val="00FB050B"/>
    <w:rsid w:val="00FB7212"/>
    <w:rsid w:val="00FB7854"/>
    <w:rsid w:val="00FB792C"/>
    <w:rsid w:val="00FC04FD"/>
    <w:rsid w:val="00FC1997"/>
    <w:rsid w:val="00FC40B3"/>
    <w:rsid w:val="00FD7C0C"/>
    <w:rsid w:val="00FE43C2"/>
    <w:rsid w:val="00FF1E8B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9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5DB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7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FF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132663"/>
    <w:rPr>
      <w:b/>
      <w:bCs/>
    </w:rPr>
  </w:style>
  <w:style w:type="character" w:styleId="Emphasis">
    <w:name w:val="Emphasis"/>
    <w:basedOn w:val="DefaultParagraphFont"/>
    <w:uiPriority w:val="20"/>
    <w:qFormat/>
    <w:rsid w:val="00132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Albana</cp:lastModifiedBy>
  <cp:revision>3</cp:revision>
  <cp:lastPrinted>2011-03-07T09:39:00Z</cp:lastPrinted>
  <dcterms:created xsi:type="dcterms:W3CDTF">2020-01-28T23:44:00Z</dcterms:created>
  <dcterms:modified xsi:type="dcterms:W3CDTF">2020-01-29T08:24:00Z</dcterms:modified>
</cp:coreProperties>
</file>