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74" w:rsidRDefault="00E63674" w:rsidP="00E63674">
      <w:pPr>
        <w:rPr>
          <w:rFonts w:ascii="Calibri" w:hAnsi="Calibri"/>
          <w:b/>
          <w:sz w:val="32"/>
          <w:szCs w:val="32"/>
          <w:u w:val="single"/>
        </w:rPr>
      </w:pPr>
      <w:r>
        <w:rPr>
          <w:rFonts w:ascii="Calibri" w:hAnsi="Calibri"/>
          <w:b/>
          <w:sz w:val="32"/>
          <w:szCs w:val="32"/>
          <w:u w:val="single"/>
        </w:rPr>
        <w:t>Course</w:t>
      </w:r>
      <w:r w:rsidRPr="003B3AAB">
        <w:rPr>
          <w:rFonts w:ascii="Calibri" w:hAnsi="Calibri"/>
          <w:b/>
          <w:sz w:val="32"/>
          <w:szCs w:val="32"/>
          <w:u w:val="single"/>
        </w:rPr>
        <w:t xml:space="preserve"> SYLLABUS </w:t>
      </w:r>
      <w:r>
        <w:rPr>
          <w:rFonts w:ascii="Calibri" w:hAnsi="Calibri"/>
          <w:b/>
          <w:sz w:val="32"/>
          <w:szCs w:val="32"/>
          <w:u w:val="single"/>
        </w:rPr>
        <w:t>form</w:t>
      </w:r>
      <w:r w:rsidRPr="003B3AAB">
        <w:rPr>
          <w:rFonts w:ascii="Calibri" w:hAnsi="Calibri"/>
          <w:b/>
          <w:sz w:val="32"/>
          <w:szCs w:val="32"/>
          <w:u w:val="single"/>
        </w:rPr>
        <w:t xml:space="preserve"> </w:t>
      </w:r>
    </w:p>
    <w:p w:rsidR="00E63674" w:rsidRPr="003B3AAB" w:rsidRDefault="00E63674" w:rsidP="00E63674">
      <w:pPr>
        <w:rPr>
          <w:rFonts w:ascii="Calibri" w:hAnsi="Calibri"/>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99"/>
        <w:gridCol w:w="1425"/>
        <w:gridCol w:w="1770"/>
        <w:gridCol w:w="2116"/>
      </w:tblGrid>
      <w:tr w:rsidR="00E63674" w:rsidRPr="00541D08" w:rsidTr="002B5C53">
        <w:tc>
          <w:tcPr>
            <w:tcW w:w="8928" w:type="dxa"/>
            <w:gridSpan w:val="5"/>
            <w:shd w:val="clear" w:color="auto" w:fill="B8CCE4"/>
          </w:tcPr>
          <w:p w:rsidR="00E63674" w:rsidRPr="00541D08" w:rsidRDefault="00E63674" w:rsidP="002B5C53">
            <w:pPr>
              <w:pStyle w:val="NoSpacing"/>
              <w:rPr>
                <w:rFonts w:ascii="Calibri" w:hAnsi="Calibri"/>
                <w:b/>
                <w:sz w:val="22"/>
                <w:szCs w:val="22"/>
              </w:rPr>
            </w:pPr>
            <w:r w:rsidRPr="00541D08">
              <w:rPr>
                <w:rFonts w:ascii="Calibri" w:hAnsi="Calibri"/>
                <w:b/>
                <w:sz w:val="22"/>
                <w:szCs w:val="22"/>
              </w:rPr>
              <w:t>Basic data of the subject</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 xml:space="preserve">Academic Unit: </w:t>
            </w:r>
          </w:p>
        </w:tc>
        <w:tc>
          <w:tcPr>
            <w:tcW w:w="5311" w:type="dxa"/>
            <w:gridSpan w:val="3"/>
          </w:tcPr>
          <w:p w:rsidR="00D04F2F" w:rsidRPr="00541D08" w:rsidRDefault="00D04F2F" w:rsidP="00724394">
            <w:pPr>
              <w:pStyle w:val="NoSpacing"/>
              <w:rPr>
                <w:b/>
                <w:sz w:val="22"/>
                <w:szCs w:val="22"/>
              </w:rPr>
            </w:pPr>
            <w:r w:rsidRPr="00541D08">
              <w:rPr>
                <w:b/>
                <w:sz w:val="22"/>
                <w:szCs w:val="22"/>
              </w:rPr>
              <w:t>Faculty of Mathematics &amp; Natural Sciences</w:t>
            </w:r>
          </w:p>
          <w:p w:rsidR="00E63674" w:rsidRPr="00541D08" w:rsidRDefault="00724394" w:rsidP="00724394">
            <w:pPr>
              <w:pStyle w:val="NoSpacing"/>
              <w:rPr>
                <w:b/>
                <w:sz w:val="22"/>
                <w:szCs w:val="22"/>
              </w:rPr>
            </w:pPr>
            <w:r w:rsidRPr="00541D08">
              <w:rPr>
                <w:b/>
                <w:sz w:val="22"/>
                <w:szCs w:val="22"/>
              </w:rPr>
              <w:t>Department of Chemistry</w:t>
            </w:r>
            <w:bookmarkStart w:id="0" w:name="_GoBack"/>
            <w:bookmarkEnd w:id="0"/>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Course title:</w:t>
            </w:r>
          </w:p>
        </w:tc>
        <w:tc>
          <w:tcPr>
            <w:tcW w:w="5311" w:type="dxa"/>
            <w:gridSpan w:val="3"/>
          </w:tcPr>
          <w:p w:rsidR="00E63674" w:rsidRPr="00541D08" w:rsidRDefault="00E63674" w:rsidP="00D47D5C">
            <w:pPr>
              <w:pStyle w:val="Heading3"/>
              <w:shd w:val="clear" w:color="auto" w:fill="FFFFFF"/>
              <w:spacing w:before="0" w:beforeAutospacing="0" w:after="0" w:afterAutospacing="0"/>
              <w:jc w:val="both"/>
              <w:rPr>
                <w:bCs w:val="0"/>
                <w:sz w:val="22"/>
                <w:szCs w:val="22"/>
              </w:rPr>
            </w:pPr>
            <w:r w:rsidRPr="00541D08">
              <w:rPr>
                <w:sz w:val="22"/>
                <w:szCs w:val="22"/>
              </w:rPr>
              <w:t>Analytical</w:t>
            </w:r>
            <w:r w:rsidR="00D47D5C" w:rsidRPr="00541D08">
              <w:rPr>
                <w:sz w:val="22"/>
                <w:szCs w:val="22"/>
              </w:rPr>
              <w:t xml:space="preserve"> Chemistry II (</w:t>
            </w:r>
            <w:hyperlink r:id="rId8" w:tgtFrame="_blank" w:history="1">
              <w:r w:rsidR="00D47D5C" w:rsidRPr="00541D08">
                <w:rPr>
                  <w:rStyle w:val="Hyperlink"/>
                  <w:bCs w:val="0"/>
                  <w:color w:val="auto"/>
                  <w:sz w:val="22"/>
                  <w:szCs w:val="22"/>
                  <w:u w:val="none"/>
                </w:rPr>
                <w:t>Engineering Chemistry</w:t>
              </w:r>
            </w:hyperlink>
            <w:r w:rsidR="00D47D5C" w:rsidRPr="00541D08">
              <w:rPr>
                <w:bCs w:val="0"/>
                <w:sz w:val="22"/>
                <w:szCs w:val="22"/>
              </w:rPr>
              <w:t>)</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Level:</w:t>
            </w:r>
          </w:p>
        </w:tc>
        <w:tc>
          <w:tcPr>
            <w:tcW w:w="5311" w:type="dxa"/>
            <w:gridSpan w:val="3"/>
          </w:tcPr>
          <w:p w:rsidR="00E63674" w:rsidRPr="00541D08" w:rsidRDefault="00E63674" w:rsidP="002B5C53">
            <w:pPr>
              <w:pStyle w:val="NoSpacing"/>
              <w:rPr>
                <w:b/>
                <w:sz w:val="22"/>
                <w:szCs w:val="22"/>
              </w:rPr>
            </w:pPr>
            <w:r w:rsidRPr="00541D08">
              <w:rPr>
                <w:b/>
                <w:sz w:val="22"/>
                <w:szCs w:val="22"/>
              </w:rPr>
              <w:t>Bachelor</w:t>
            </w:r>
          </w:p>
        </w:tc>
      </w:tr>
      <w:tr w:rsidR="00E63674" w:rsidRPr="00541D08" w:rsidTr="002B5C53">
        <w:tc>
          <w:tcPr>
            <w:tcW w:w="3617" w:type="dxa"/>
            <w:gridSpan w:val="2"/>
          </w:tcPr>
          <w:p w:rsidR="00E63674" w:rsidRPr="00541D08" w:rsidRDefault="00E63674" w:rsidP="002B5C53">
            <w:pPr>
              <w:pStyle w:val="NoSpacing"/>
              <w:rPr>
                <w:b/>
                <w:sz w:val="22"/>
                <w:szCs w:val="22"/>
              </w:rPr>
            </w:pPr>
            <w:r w:rsidRPr="00541D08">
              <w:rPr>
                <w:b/>
                <w:sz w:val="22"/>
                <w:szCs w:val="22"/>
              </w:rPr>
              <w:t>Course status:</w:t>
            </w:r>
          </w:p>
        </w:tc>
        <w:tc>
          <w:tcPr>
            <w:tcW w:w="5311" w:type="dxa"/>
            <w:gridSpan w:val="3"/>
          </w:tcPr>
          <w:p w:rsidR="00E63674" w:rsidRPr="00541D08" w:rsidRDefault="00E63674" w:rsidP="002B5C53">
            <w:pPr>
              <w:pStyle w:val="NoSpacing"/>
              <w:rPr>
                <w:b/>
                <w:color w:val="FF0000"/>
                <w:sz w:val="22"/>
                <w:szCs w:val="22"/>
              </w:rPr>
            </w:pPr>
            <w:r w:rsidRPr="00541D08">
              <w:rPr>
                <w:b/>
                <w:sz w:val="22"/>
                <w:szCs w:val="22"/>
              </w:rPr>
              <w:t>Obligatory</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Study year:</w:t>
            </w:r>
          </w:p>
        </w:tc>
        <w:tc>
          <w:tcPr>
            <w:tcW w:w="5311" w:type="dxa"/>
            <w:gridSpan w:val="3"/>
          </w:tcPr>
          <w:p w:rsidR="00E63674" w:rsidRPr="00541D08" w:rsidRDefault="00837111" w:rsidP="002B5C53">
            <w:pPr>
              <w:pStyle w:val="NoSpacing"/>
              <w:rPr>
                <w:b/>
                <w:sz w:val="22"/>
                <w:szCs w:val="22"/>
              </w:rPr>
            </w:pPr>
            <w:r w:rsidRPr="00541D08">
              <w:rPr>
                <w:b/>
                <w:sz w:val="22"/>
                <w:szCs w:val="22"/>
              </w:rPr>
              <w:t>Second Year/winter Semester (II/3)</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Number of hours per week:</w:t>
            </w:r>
          </w:p>
        </w:tc>
        <w:tc>
          <w:tcPr>
            <w:tcW w:w="5311" w:type="dxa"/>
            <w:gridSpan w:val="3"/>
          </w:tcPr>
          <w:p w:rsidR="00D47D5C" w:rsidRPr="00541D08" w:rsidRDefault="00D47D5C" w:rsidP="002B5C53">
            <w:pPr>
              <w:pStyle w:val="NoSpacing"/>
              <w:rPr>
                <w:b/>
                <w:sz w:val="22"/>
                <w:szCs w:val="22"/>
              </w:rPr>
            </w:pPr>
            <w:r w:rsidRPr="00541D08">
              <w:rPr>
                <w:b/>
                <w:sz w:val="22"/>
                <w:szCs w:val="22"/>
              </w:rPr>
              <w:t>3+4</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Credit value – ECTS:</w:t>
            </w:r>
          </w:p>
        </w:tc>
        <w:tc>
          <w:tcPr>
            <w:tcW w:w="5311" w:type="dxa"/>
            <w:gridSpan w:val="3"/>
          </w:tcPr>
          <w:p w:rsidR="00D47D5C" w:rsidRPr="00541D08" w:rsidRDefault="00F35724" w:rsidP="002B5C53">
            <w:pPr>
              <w:pStyle w:val="NoSpacing"/>
              <w:rPr>
                <w:b/>
                <w:sz w:val="22"/>
                <w:szCs w:val="22"/>
              </w:rPr>
            </w:pPr>
            <w:r>
              <w:rPr>
                <w:b/>
                <w:sz w:val="22"/>
                <w:szCs w:val="22"/>
              </w:rPr>
              <w:t>7</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Time / location:</w:t>
            </w:r>
          </w:p>
        </w:tc>
        <w:tc>
          <w:tcPr>
            <w:tcW w:w="5311" w:type="dxa"/>
            <w:gridSpan w:val="3"/>
          </w:tcPr>
          <w:p w:rsidR="00D47D5C" w:rsidRPr="00541D08" w:rsidRDefault="00837111" w:rsidP="002B5C53">
            <w:pPr>
              <w:pStyle w:val="NoSpacing"/>
              <w:rPr>
                <w:b/>
                <w:sz w:val="22"/>
                <w:szCs w:val="22"/>
              </w:rPr>
            </w:pPr>
            <w:r w:rsidRPr="00541D08">
              <w:rPr>
                <w:b/>
                <w:sz w:val="22"/>
                <w:szCs w:val="22"/>
              </w:rPr>
              <w:t>Department of Chemistry</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Lecturer:</w:t>
            </w:r>
          </w:p>
        </w:tc>
        <w:tc>
          <w:tcPr>
            <w:tcW w:w="5311" w:type="dxa"/>
            <w:gridSpan w:val="3"/>
          </w:tcPr>
          <w:p w:rsidR="00D47D5C" w:rsidRPr="00541D08" w:rsidRDefault="002348A1" w:rsidP="002B5C53">
            <w:pPr>
              <w:pStyle w:val="NoSpacing"/>
              <w:rPr>
                <w:b/>
                <w:sz w:val="22"/>
                <w:szCs w:val="22"/>
              </w:rPr>
            </w:pPr>
            <w:r>
              <w:rPr>
                <w:b/>
                <w:sz w:val="22"/>
                <w:szCs w:val="22"/>
              </w:rPr>
              <w:t xml:space="preserve">Prof. </w:t>
            </w:r>
            <w:r w:rsidR="00D47D5C" w:rsidRPr="00541D08">
              <w:rPr>
                <w:b/>
                <w:sz w:val="22"/>
                <w:szCs w:val="22"/>
              </w:rPr>
              <w:t xml:space="preserve">Dr. </w:t>
            </w:r>
            <w:proofErr w:type="spellStart"/>
            <w:r w:rsidR="00D47D5C" w:rsidRPr="00541D08">
              <w:rPr>
                <w:b/>
                <w:sz w:val="22"/>
                <w:szCs w:val="22"/>
              </w:rPr>
              <w:t>Fatmir</w:t>
            </w:r>
            <w:proofErr w:type="spellEnd"/>
            <w:r w:rsidR="00D47D5C" w:rsidRPr="00541D08">
              <w:rPr>
                <w:b/>
                <w:sz w:val="22"/>
                <w:szCs w:val="22"/>
              </w:rPr>
              <w:t xml:space="preserve"> </w:t>
            </w:r>
            <w:proofErr w:type="spellStart"/>
            <w:r w:rsidR="00D47D5C" w:rsidRPr="00541D08">
              <w:rPr>
                <w:b/>
                <w:sz w:val="22"/>
                <w:szCs w:val="22"/>
              </w:rPr>
              <w:t>Faiku</w:t>
            </w:r>
            <w:proofErr w:type="spellEnd"/>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 xml:space="preserve">Contact details: </w:t>
            </w:r>
          </w:p>
        </w:tc>
        <w:tc>
          <w:tcPr>
            <w:tcW w:w="5311" w:type="dxa"/>
            <w:gridSpan w:val="3"/>
          </w:tcPr>
          <w:p w:rsidR="00D47D5C" w:rsidRPr="00541D08" w:rsidRDefault="00D47D5C" w:rsidP="002B5C53">
            <w:pPr>
              <w:pStyle w:val="NoSpacing"/>
              <w:rPr>
                <w:b/>
                <w:sz w:val="22"/>
                <w:szCs w:val="22"/>
              </w:rPr>
            </w:pPr>
            <w:r w:rsidRPr="00541D08">
              <w:rPr>
                <w:b/>
                <w:sz w:val="22"/>
                <w:szCs w:val="22"/>
              </w:rPr>
              <w:t>f_faiku@hotmail.com</w:t>
            </w:r>
          </w:p>
          <w:p w:rsidR="00D47D5C" w:rsidRPr="00541D08" w:rsidRDefault="00D47D5C" w:rsidP="002B5C53">
            <w:pPr>
              <w:pStyle w:val="NoSpacing"/>
              <w:rPr>
                <w:b/>
                <w:sz w:val="22"/>
                <w:szCs w:val="22"/>
              </w:rPr>
            </w:pPr>
            <w:r w:rsidRPr="00541D08">
              <w:rPr>
                <w:b/>
                <w:sz w:val="22"/>
                <w:szCs w:val="22"/>
              </w:rPr>
              <w:t>044 261 366</w:t>
            </w:r>
          </w:p>
        </w:tc>
      </w:tr>
      <w:tr w:rsidR="00D47D5C" w:rsidRPr="00541D08" w:rsidTr="002B5C53">
        <w:tc>
          <w:tcPr>
            <w:tcW w:w="8928" w:type="dxa"/>
            <w:gridSpan w:val="5"/>
            <w:shd w:val="clear" w:color="auto" w:fill="B8CCE4"/>
          </w:tcPr>
          <w:p w:rsidR="00D47D5C" w:rsidRPr="00541D08" w:rsidRDefault="00D47D5C" w:rsidP="002B5C53">
            <w:pPr>
              <w:pStyle w:val="NoSpacing"/>
              <w:rPr>
                <w:rFonts w:ascii="Calibri" w:hAnsi="Calibri"/>
                <w:sz w:val="22"/>
                <w:szCs w:val="22"/>
              </w:rPr>
            </w:pP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Course description</w:t>
            </w:r>
          </w:p>
        </w:tc>
        <w:tc>
          <w:tcPr>
            <w:tcW w:w="5311" w:type="dxa"/>
            <w:gridSpan w:val="3"/>
          </w:tcPr>
          <w:p w:rsidR="00D47D5C" w:rsidRPr="00541D08" w:rsidRDefault="00265BA3" w:rsidP="00265BA3">
            <w:pPr>
              <w:jc w:val="both"/>
            </w:pPr>
            <w:r w:rsidRPr="00541D08">
              <w:rPr>
                <w:sz w:val="22"/>
                <w:szCs w:val="22"/>
              </w:rPr>
              <w:t>The course will address the basic concepts of volumetric analysis (methods of neutralization, precipitation, complexes and oxidation-reduction) and gravimetric. The course will consist of a series of lectures related to laboratory exercises. At the end of the course, the student should have sufficient knowledge</w:t>
            </w:r>
            <w:r w:rsidRPr="00541D08">
              <w:rPr>
                <w:color w:val="FF0000"/>
                <w:sz w:val="22"/>
                <w:szCs w:val="22"/>
              </w:rPr>
              <w:t xml:space="preserve"> </w:t>
            </w:r>
            <w:r w:rsidRPr="00541D08">
              <w:rPr>
                <w:sz w:val="22"/>
                <w:szCs w:val="22"/>
              </w:rPr>
              <w:t>of volumetric and gravimetric methods used in the study and also an experience in conducting analytical experiments.</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Course objectives:</w:t>
            </w:r>
          </w:p>
        </w:tc>
        <w:tc>
          <w:tcPr>
            <w:tcW w:w="5311" w:type="dxa"/>
            <w:gridSpan w:val="3"/>
          </w:tcPr>
          <w:p w:rsidR="00D47D5C" w:rsidRPr="00541D08" w:rsidRDefault="00D47D5C" w:rsidP="002B5C53">
            <w:pPr>
              <w:jc w:val="both"/>
              <w:rPr>
                <w:lang w:val="it-IT"/>
              </w:rPr>
            </w:pPr>
            <w:r w:rsidRPr="00541D08">
              <w:rPr>
                <w:sz w:val="22"/>
                <w:szCs w:val="22"/>
                <w:lang w:val="it-IT"/>
              </w:rPr>
              <w:t xml:space="preserve">The aim of this course is to create relation between theoretical knowledge and laboratory operations which are necessary for independent analysis. During this course the student will gain the knowledge which helps to orient quickly and straight to the analytical proceses. The student will be able to organize the independent research in laboratory and to analyse the quality. </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 xml:space="preserve"> Learning outcomes:</w:t>
            </w:r>
          </w:p>
        </w:tc>
        <w:tc>
          <w:tcPr>
            <w:tcW w:w="5311" w:type="dxa"/>
            <w:gridSpan w:val="3"/>
          </w:tcPr>
          <w:p w:rsidR="00837111" w:rsidRPr="00541D08" w:rsidRDefault="00837111" w:rsidP="00837111">
            <w:pPr>
              <w:pStyle w:val="ListParagraph"/>
              <w:numPr>
                <w:ilvl w:val="0"/>
                <w:numId w:val="1"/>
              </w:numPr>
              <w:tabs>
                <w:tab w:val="left" w:pos="343"/>
              </w:tabs>
              <w:ind w:left="343" w:hanging="343"/>
              <w:jc w:val="both"/>
              <w:rPr>
                <w:rFonts w:ascii="Arial" w:hAnsi="Arial" w:cs="Arial"/>
              </w:rPr>
            </w:pPr>
            <w:r w:rsidRPr="00541D08">
              <w:rPr>
                <w:sz w:val="22"/>
                <w:szCs w:val="22"/>
                <w:lang w:val="it-IT"/>
              </w:rPr>
              <w:t>Relation between theoretical knowledge and laboratory operations.</w:t>
            </w:r>
          </w:p>
          <w:p w:rsidR="00837111" w:rsidRPr="00541D08" w:rsidRDefault="00837111" w:rsidP="00837111">
            <w:pPr>
              <w:pStyle w:val="ListParagraph"/>
              <w:numPr>
                <w:ilvl w:val="0"/>
                <w:numId w:val="1"/>
              </w:numPr>
              <w:ind w:left="343" w:hanging="343"/>
              <w:jc w:val="both"/>
              <w:rPr>
                <w:rFonts w:ascii="Arial" w:hAnsi="Arial" w:cs="Arial"/>
              </w:rPr>
            </w:pPr>
            <w:r w:rsidRPr="00541D08">
              <w:rPr>
                <w:sz w:val="22"/>
                <w:szCs w:val="22"/>
                <w:lang w:val="it-IT"/>
              </w:rPr>
              <w:t xml:space="preserve">Recognize vollumetric methods: </w:t>
            </w:r>
          </w:p>
          <w:p w:rsidR="00837111" w:rsidRPr="00541D08" w:rsidRDefault="00837111" w:rsidP="00837111">
            <w:pPr>
              <w:pStyle w:val="ListParagraph"/>
              <w:numPr>
                <w:ilvl w:val="0"/>
                <w:numId w:val="1"/>
              </w:numPr>
              <w:ind w:left="343" w:hanging="343"/>
              <w:jc w:val="both"/>
              <w:rPr>
                <w:rFonts w:ascii="Arial" w:hAnsi="Arial" w:cs="Arial"/>
              </w:rPr>
            </w:pPr>
            <w:r w:rsidRPr="00541D08">
              <w:rPr>
                <w:sz w:val="22"/>
                <w:szCs w:val="22"/>
                <w:lang w:val="it-IT"/>
              </w:rPr>
              <w:t>Neutralization,</w:t>
            </w:r>
          </w:p>
          <w:p w:rsidR="00837111" w:rsidRPr="00541D08" w:rsidRDefault="00837111" w:rsidP="00837111">
            <w:pPr>
              <w:pStyle w:val="ListParagraph"/>
              <w:numPr>
                <w:ilvl w:val="0"/>
                <w:numId w:val="1"/>
              </w:numPr>
              <w:ind w:left="343" w:hanging="343"/>
              <w:jc w:val="both"/>
              <w:rPr>
                <w:rFonts w:ascii="Arial" w:hAnsi="Arial" w:cs="Arial"/>
              </w:rPr>
            </w:pPr>
            <w:r w:rsidRPr="00541D08">
              <w:rPr>
                <w:sz w:val="22"/>
                <w:szCs w:val="22"/>
                <w:lang w:val="it-IT"/>
              </w:rPr>
              <w:t xml:space="preserve">Precipitation, </w:t>
            </w:r>
          </w:p>
          <w:p w:rsidR="00837111" w:rsidRPr="00541D08" w:rsidRDefault="00837111" w:rsidP="00837111">
            <w:pPr>
              <w:pStyle w:val="ListParagraph"/>
              <w:numPr>
                <w:ilvl w:val="0"/>
                <w:numId w:val="1"/>
              </w:numPr>
              <w:ind w:left="343" w:hanging="343"/>
              <w:jc w:val="both"/>
              <w:rPr>
                <w:rFonts w:ascii="Arial" w:hAnsi="Arial" w:cs="Arial"/>
              </w:rPr>
            </w:pPr>
            <w:r w:rsidRPr="00541D08">
              <w:rPr>
                <w:sz w:val="22"/>
                <w:szCs w:val="22"/>
                <w:lang w:val="it-IT"/>
              </w:rPr>
              <w:t>oxido reduction,</w:t>
            </w:r>
          </w:p>
          <w:p w:rsidR="00837111" w:rsidRPr="00541D08" w:rsidRDefault="00837111" w:rsidP="00837111">
            <w:pPr>
              <w:pStyle w:val="ListParagraph"/>
              <w:numPr>
                <w:ilvl w:val="0"/>
                <w:numId w:val="1"/>
              </w:numPr>
              <w:ind w:left="343" w:hanging="343"/>
              <w:jc w:val="both"/>
              <w:rPr>
                <w:rFonts w:ascii="Arial" w:hAnsi="Arial" w:cs="Arial"/>
              </w:rPr>
            </w:pPr>
            <w:r w:rsidRPr="00541D08">
              <w:rPr>
                <w:sz w:val="22"/>
                <w:szCs w:val="22"/>
                <w:lang w:val="it-IT"/>
              </w:rPr>
              <w:t>Construction of  the acid-base curves, precipitation and oksidoreduktion.</w:t>
            </w:r>
          </w:p>
          <w:p w:rsidR="00D47D5C" w:rsidRPr="00541D08" w:rsidRDefault="00837111" w:rsidP="00837111">
            <w:pPr>
              <w:pStyle w:val="ListParagraph"/>
              <w:numPr>
                <w:ilvl w:val="0"/>
                <w:numId w:val="1"/>
              </w:numPr>
              <w:ind w:left="343" w:hanging="343"/>
              <w:jc w:val="both"/>
              <w:rPr>
                <w:rFonts w:ascii="Arial" w:hAnsi="Arial" w:cs="Arial"/>
              </w:rPr>
            </w:pPr>
            <w:r w:rsidRPr="00541D08">
              <w:rPr>
                <w:sz w:val="22"/>
                <w:szCs w:val="22"/>
                <w:lang w:val="it-IT"/>
              </w:rPr>
              <w:t>To recognize gravimetric methods.</w:t>
            </w:r>
          </w:p>
        </w:tc>
      </w:tr>
      <w:tr w:rsidR="00D47D5C" w:rsidRPr="00541D08" w:rsidTr="002B5C53">
        <w:tc>
          <w:tcPr>
            <w:tcW w:w="8928" w:type="dxa"/>
            <w:gridSpan w:val="5"/>
            <w:shd w:val="clear" w:color="auto" w:fill="B8CCE4"/>
          </w:tcPr>
          <w:p w:rsidR="00D47D5C" w:rsidRPr="00541D08" w:rsidRDefault="00D47D5C" w:rsidP="002B5C53">
            <w:pPr>
              <w:pStyle w:val="NoSpacing"/>
              <w:rPr>
                <w:rFonts w:ascii="Calibri" w:hAnsi="Calibri"/>
                <w:i/>
                <w:sz w:val="22"/>
                <w:szCs w:val="22"/>
              </w:rPr>
            </w:pPr>
          </w:p>
        </w:tc>
      </w:tr>
      <w:tr w:rsidR="00D47D5C" w:rsidRPr="00541D08" w:rsidTr="002B5C53">
        <w:tc>
          <w:tcPr>
            <w:tcW w:w="8928" w:type="dxa"/>
            <w:gridSpan w:val="5"/>
            <w:shd w:val="clear" w:color="auto" w:fill="B8CCE4"/>
          </w:tcPr>
          <w:p w:rsidR="00D47D5C" w:rsidRPr="00541D08" w:rsidRDefault="00D47D5C" w:rsidP="002B5C53">
            <w:pPr>
              <w:pStyle w:val="NoSpacing"/>
              <w:jc w:val="center"/>
              <w:rPr>
                <w:rFonts w:ascii="Calibri" w:hAnsi="Calibri"/>
                <w:b/>
                <w:sz w:val="22"/>
                <w:szCs w:val="22"/>
              </w:rPr>
            </w:pPr>
            <w:r w:rsidRPr="00541D08">
              <w:rPr>
                <w:rFonts w:ascii="Calibri" w:hAnsi="Calibri"/>
                <w:b/>
                <w:sz w:val="22"/>
                <w:szCs w:val="22"/>
              </w:rPr>
              <w:t>Contribution on student load (must correspond with learning outcomes)</w:t>
            </w:r>
          </w:p>
        </w:tc>
      </w:tr>
      <w:tr w:rsidR="00D47D5C" w:rsidRPr="00541D08" w:rsidTr="002B5C53">
        <w:tc>
          <w:tcPr>
            <w:tcW w:w="3617" w:type="dxa"/>
            <w:gridSpan w:val="2"/>
            <w:tcBorders>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 xml:space="preserve">Activity </w:t>
            </w:r>
          </w:p>
        </w:tc>
        <w:tc>
          <w:tcPr>
            <w:tcW w:w="1425" w:type="dxa"/>
            <w:tcBorders>
              <w:left w:val="single" w:sz="4" w:space="0" w:color="auto"/>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week</w:t>
            </w:r>
          </w:p>
        </w:tc>
        <w:tc>
          <w:tcPr>
            <w:tcW w:w="2116" w:type="dxa"/>
            <w:tcBorders>
              <w:lef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 xml:space="preserve">Total /hours </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Lectures</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3</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15</w:t>
            </w:r>
          </w:p>
        </w:tc>
        <w:tc>
          <w:tcPr>
            <w:tcW w:w="2116" w:type="dxa"/>
            <w:tcBorders>
              <w:left w:val="single" w:sz="4" w:space="0" w:color="auto"/>
            </w:tcBorders>
            <w:shd w:val="clear" w:color="auto" w:fill="FFFFFF"/>
          </w:tcPr>
          <w:p w:rsidR="00F35724" w:rsidRPr="00F35724" w:rsidRDefault="00F35724" w:rsidP="002710E4">
            <w:pPr>
              <w:rPr>
                <w:sz w:val="22"/>
                <w:szCs w:val="22"/>
              </w:rPr>
            </w:pPr>
            <w:r w:rsidRPr="00F35724">
              <w:rPr>
                <w:sz w:val="22"/>
                <w:szCs w:val="22"/>
              </w:rPr>
              <w:t>45</w:t>
            </w:r>
          </w:p>
        </w:tc>
      </w:tr>
      <w:tr w:rsidR="00F35724" w:rsidRPr="00541D08" w:rsidTr="002B5C53">
        <w:trPr>
          <w:trHeight w:val="215"/>
        </w:trPr>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Exercise laboratory</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4</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15</w:t>
            </w:r>
          </w:p>
        </w:tc>
        <w:tc>
          <w:tcPr>
            <w:tcW w:w="2116" w:type="dxa"/>
            <w:tcBorders>
              <w:left w:val="single" w:sz="4" w:space="0" w:color="auto"/>
            </w:tcBorders>
            <w:shd w:val="clear" w:color="auto" w:fill="FFFFFF"/>
          </w:tcPr>
          <w:p w:rsidR="00F35724" w:rsidRPr="00F35724" w:rsidRDefault="00F35724" w:rsidP="002710E4">
            <w:pPr>
              <w:rPr>
                <w:sz w:val="22"/>
                <w:szCs w:val="22"/>
              </w:rPr>
            </w:pPr>
            <w:r w:rsidRPr="00F35724">
              <w:rPr>
                <w:sz w:val="22"/>
                <w:szCs w:val="22"/>
              </w:rPr>
              <w:t>60</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Practice work</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2116" w:type="dxa"/>
            <w:tcBorders>
              <w:left w:val="single" w:sz="4" w:space="0" w:color="auto"/>
            </w:tcBorders>
            <w:shd w:val="clear" w:color="auto" w:fill="FFFFFF"/>
          </w:tcPr>
          <w:p w:rsidR="00F35724" w:rsidRPr="00F35724" w:rsidRDefault="00F35724" w:rsidP="002710E4">
            <w:pPr>
              <w:rPr>
                <w:sz w:val="22"/>
                <w:szCs w:val="22"/>
              </w:rPr>
            </w:pP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Contact with lecturer/consultations</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2</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12</w:t>
            </w:r>
          </w:p>
        </w:tc>
        <w:tc>
          <w:tcPr>
            <w:tcW w:w="2116" w:type="dxa"/>
            <w:tcBorders>
              <w:left w:val="single" w:sz="4" w:space="0" w:color="auto"/>
            </w:tcBorders>
            <w:shd w:val="clear" w:color="auto" w:fill="FFFFFF"/>
          </w:tcPr>
          <w:p w:rsidR="00F35724" w:rsidRPr="00F35724" w:rsidRDefault="00F35724" w:rsidP="002710E4">
            <w:pPr>
              <w:rPr>
                <w:sz w:val="22"/>
                <w:szCs w:val="22"/>
              </w:rPr>
            </w:pPr>
            <w:r w:rsidRPr="00F35724">
              <w:rPr>
                <w:sz w:val="22"/>
                <w:szCs w:val="22"/>
              </w:rPr>
              <w:t>24</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Field exercises</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2116" w:type="dxa"/>
            <w:tcBorders>
              <w:left w:val="single" w:sz="4" w:space="0" w:color="auto"/>
            </w:tcBorders>
            <w:shd w:val="clear" w:color="auto" w:fill="FFFFFF"/>
          </w:tcPr>
          <w:p w:rsidR="00F35724" w:rsidRPr="00F35724" w:rsidRDefault="00F35724" w:rsidP="002710E4">
            <w:pPr>
              <w:rPr>
                <w:sz w:val="22"/>
                <w:szCs w:val="22"/>
              </w:rPr>
            </w:pP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lastRenderedPageBreak/>
              <w:t>Mid-terms, seminars</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3</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2</w:t>
            </w:r>
          </w:p>
        </w:tc>
        <w:tc>
          <w:tcPr>
            <w:tcW w:w="2116" w:type="dxa"/>
            <w:tcBorders>
              <w:left w:val="single" w:sz="4" w:space="0" w:color="auto"/>
            </w:tcBorders>
            <w:shd w:val="clear" w:color="auto" w:fill="FFFFFF"/>
          </w:tcPr>
          <w:p w:rsidR="00F35724" w:rsidRPr="00F35724" w:rsidRDefault="00F35724" w:rsidP="002710E4">
            <w:pPr>
              <w:rPr>
                <w:sz w:val="22"/>
                <w:szCs w:val="22"/>
              </w:rPr>
            </w:pPr>
            <w:r w:rsidRPr="00F35724">
              <w:rPr>
                <w:sz w:val="22"/>
                <w:szCs w:val="22"/>
              </w:rPr>
              <w:t>6</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Homework</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2116" w:type="dxa"/>
            <w:tcBorders>
              <w:left w:val="single" w:sz="4" w:space="0" w:color="auto"/>
            </w:tcBorders>
            <w:shd w:val="clear" w:color="auto" w:fill="FFFFFF"/>
          </w:tcPr>
          <w:p w:rsidR="00F35724" w:rsidRPr="00F35724" w:rsidRDefault="00F35724" w:rsidP="002710E4">
            <w:pPr>
              <w:rPr>
                <w:sz w:val="22"/>
                <w:szCs w:val="22"/>
              </w:rPr>
            </w:pP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Individual time spent studying (at the library or home)</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2</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8</w:t>
            </w:r>
          </w:p>
        </w:tc>
        <w:tc>
          <w:tcPr>
            <w:tcW w:w="2116" w:type="dxa"/>
            <w:tcBorders>
              <w:left w:val="single" w:sz="4" w:space="0" w:color="auto"/>
            </w:tcBorders>
            <w:shd w:val="clear" w:color="auto" w:fill="FFFFFF"/>
          </w:tcPr>
          <w:p w:rsidR="00F35724" w:rsidRPr="00F35724" w:rsidRDefault="00F35724" w:rsidP="002710E4">
            <w:pPr>
              <w:rPr>
                <w:sz w:val="22"/>
                <w:szCs w:val="22"/>
              </w:rPr>
            </w:pPr>
            <w:r w:rsidRPr="00F35724">
              <w:rPr>
                <w:sz w:val="22"/>
                <w:szCs w:val="22"/>
              </w:rPr>
              <w:t>16</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Final preparation for the exam</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10</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r w:rsidRPr="00F35724">
              <w:rPr>
                <w:sz w:val="22"/>
                <w:szCs w:val="22"/>
              </w:rPr>
              <w:t>2</w:t>
            </w:r>
          </w:p>
        </w:tc>
        <w:tc>
          <w:tcPr>
            <w:tcW w:w="2116" w:type="dxa"/>
            <w:tcBorders>
              <w:left w:val="single" w:sz="4" w:space="0" w:color="auto"/>
            </w:tcBorders>
            <w:shd w:val="clear" w:color="auto" w:fill="FFFFFF"/>
          </w:tcPr>
          <w:p w:rsidR="00F35724" w:rsidRPr="00F35724" w:rsidRDefault="00F35724" w:rsidP="002710E4">
            <w:pPr>
              <w:rPr>
                <w:sz w:val="22"/>
                <w:szCs w:val="22"/>
              </w:rPr>
            </w:pPr>
            <w:r w:rsidRPr="00F35724">
              <w:rPr>
                <w:sz w:val="22"/>
                <w:szCs w:val="22"/>
              </w:rPr>
              <w:t>20</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Time spent in evaluation (tests, final exam)</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lang w:val="pt-BR"/>
              </w:rPr>
            </w:pPr>
            <w:r w:rsidRPr="00F35724">
              <w:rPr>
                <w:sz w:val="22"/>
                <w:szCs w:val="22"/>
                <w:lang w:val="pt-BR"/>
              </w:rPr>
              <w:t>1</w:t>
            </w: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lang w:val="pt-BR"/>
              </w:rPr>
            </w:pPr>
            <w:r w:rsidRPr="00F35724">
              <w:rPr>
                <w:sz w:val="22"/>
                <w:szCs w:val="22"/>
                <w:lang w:val="pt-BR"/>
              </w:rPr>
              <w:t>4</w:t>
            </w:r>
          </w:p>
        </w:tc>
        <w:tc>
          <w:tcPr>
            <w:tcW w:w="2116" w:type="dxa"/>
            <w:tcBorders>
              <w:left w:val="single" w:sz="4" w:space="0" w:color="auto"/>
            </w:tcBorders>
            <w:shd w:val="clear" w:color="auto" w:fill="FFFFFF"/>
          </w:tcPr>
          <w:p w:rsidR="00F35724" w:rsidRPr="00F35724" w:rsidRDefault="00F35724" w:rsidP="002710E4">
            <w:pPr>
              <w:rPr>
                <w:sz w:val="22"/>
                <w:szCs w:val="22"/>
                <w:lang w:val="pt-BR"/>
              </w:rPr>
            </w:pPr>
            <w:r w:rsidRPr="00F35724">
              <w:rPr>
                <w:sz w:val="22"/>
                <w:szCs w:val="22"/>
                <w:lang w:val="pt-BR"/>
              </w:rPr>
              <w:t>4</w:t>
            </w:r>
          </w:p>
        </w:tc>
      </w:tr>
      <w:tr w:rsidR="00F35724" w:rsidRPr="00541D08" w:rsidTr="002B5C53">
        <w:tc>
          <w:tcPr>
            <w:tcW w:w="3617" w:type="dxa"/>
            <w:gridSpan w:val="2"/>
            <w:tcBorders>
              <w:right w:val="single" w:sz="4" w:space="0" w:color="auto"/>
            </w:tcBorders>
            <w:shd w:val="clear" w:color="auto" w:fill="FFFFFF"/>
          </w:tcPr>
          <w:p w:rsidR="00F35724" w:rsidRPr="00F35724" w:rsidRDefault="00F35724" w:rsidP="002710E4">
            <w:pPr>
              <w:rPr>
                <w:sz w:val="22"/>
                <w:szCs w:val="22"/>
              </w:rPr>
            </w:pPr>
            <w:r w:rsidRPr="00F35724">
              <w:rPr>
                <w:sz w:val="22"/>
                <w:szCs w:val="22"/>
              </w:rPr>
              <w:t>Projects, presentations, etc.</w:t>
            </w:r>
          </w:p>
        </w:tc>
        <w:tc>
          <w:tcPr>
            <w:tcW w:w="1425"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1770" w:type="dxa"/>
            <w:tcBorders>
              <w:left w:val="single" w:sz="4" w:space="0" w:color="auto"/>
              <w:right w:val="single" w:sz="4" w:space="0" w:color="auto"/>
            </w:tcBorders>
            <w:shd w:val="clear" w:color="auto" w:fill="FFFFFF"/>
          </w:tcPr>
          <w:p w:rsidR="00F35724" w:rsidRPr="00F35724" w:rsidRDefault="00F35724" w:rsidP="002710E4">
            <w:pPr>
              <w:rPr>
                <w:sz w:val="22"/>
                <w:szCs w:val="22"/>
              </w:rPr>
            </w:pPr>
          </w:p>
        </w:tc>
        <w:tc>
          <w:tcPr>
            <w:tcW w:w="2116" w:type="dxa"/>
            <w:tcBorders>
              <w:left w:val="single" w:sz="4" w:space="0" w:color="auto"/>
            </w:tcBorders>
            <w:shd w:val="clear" w:color="auto" w:fill="FFFFFF"/>
          </w:tcPr>
          <w:p w:rsidR="00F35724" w:rsidRPr="00F35724" w:rsidRDefault="00F35724" w:rsidP="002710E4">
            <w:pPr>
              <w:rPr>
                <w:sz w:val="22"/>
                <w:szCs w:val="22"/>
              </w:rPr>
            </w:pPr>
          </w:p>
        </w:tc>
      </w:tr>
      <w:tr w:rsidR="00F35724" w:rsidRPr="00541D08" w:rsidTr="002B5C53">
        <w:tc>
          <w:tcPr>
            <w:tcW w:w="3617" w:type="dxa"/>
            <w:gridSpan w:val="2"/>
            <w:tcBorders>
              <w:right w:val="single" w:sz="4" w:space="0" w:color="auto"/>
            </w:tcBorders>
            <w:shd w:val="clear" w:color="auto" w:fill="B8CCE4"/>
          </w:tcPr>
          <w:p w:rsidR="00F35724" w:rsidRDefault="00F35724" w:rsidP="002710E4">
            <w:pPr>
              <w:rPr>
                <w:b/>
              </w:rPr>
            </w:pPr>
            <w:r>
              <w:rPr>
                <w:b/>
              </w:rPr>
              <w:t>Total</w:t>
            </w:r>
          </w:p>
        </w:tc>
        <w:tc>
          <w:tcPr>
            <w:tcW w:w="1425" w:type="dxa"/>
            <w:tcBorders>
              <w:left w:val="single" w:sz="4" w:space="0" w:color="auto"/>
              <w:right w:val="single" w:sz="4" w:space="0" w:color="auto"/>
            </w:tcBorders>
            <w:shd w:val="clear" w:color="auto" w:fill="B8CCE4"/>
          </w:tcPr>
          <w:p w:rsidR="00F35724" w:rsidRPr="00B66A13" w:rsidRDefault="00F35724" w:rsidP="002710E4">
            <w:pPr>
              <w:rPr>
                <w:b/>
              </w:rPr>
            </w:pPr>
          </w:p>
        </w:tc>
        <w:tc>
          <w:tcPr>
            <w:tcW w:w="1770" w:type="dxa"/>
            <w:tcBorders>
              <w:left w:val="single" w:sz="4" w:space="0" w:color="auto"/>
              <w:right w:val="single" w:sz="4" w:space="0" w:color="auto"/>
            </w:tcBorders>
            <w:shd w:val="clear" w:color="auto" w:fill="B8CCE4"/>
          </w:tcPr>
          <w:p w:rsidR="00F35724" w:rsidRPr="00B66A13" w:rsidRDefault="00F35724" w:rsidP="002710E4">
            <w:pPr>
              <w:rPr>
                <w:b/>
              </w:rPr>
            </w:pPr>
          </w:p>
        </w:tc>
        <w:tc>
          <w:tcPr>
            <w:tcW w:w="2116" w:type="dxa"/>
            <w:tcBorders>
              <w:left w:val="single" w:sz="4" w:space="0" w:color="auto"/>
            </w:tcBorders>
            <w:shd w:val="clear" w:color="auto" w:fill="B8CCE4"/>
          </w:tcPr>
          <w:p w:rsidR="00F35724" w:rsidRPr="00B66A13" w:rsidRDefault="00F35724" w:rsidP="002710E4">
            <w:pPr>
              <w:rPr>
                <w:b/>
              </w:rPr>
            </w:pPr>
            <w:r>
              <w:rPr>
                <w:b/>
              </w:rPr>
              <w:t>175</w:t>
            </w:r>
          </w:p>
        </w:tc>
      </w:tr>
      <w:tr w:rsidR="00F35724" w:rsidRPr="00541D08" w:rsidTr="002B5C53">
        <w:tc>
          <w:tcPr>
            <w:tcW w:w="8928" w:type="dxa"/>
            <w:gridSpan w:val="5"/>
            <w:shd w:val="clear" w:color="auto" w:fill="B8CCE4"/>
          </w:tcPr>
          <w:p w:rsidR="00F35724" w:rsidRPr="00541D08" w:rsidRDefault="00F35724" w:rsidP="002B5C53">
            <w:pPr>
              <w:jc w:val="both"/>
              <w:rPr>
                <w:rFonts w:ascii="Calibri" w:hAnsi="Calibri" w:cs="Arial"/>
                <w:b/>
              </w:rPr>
            </w:pPr>
          </w:p>
        </w:tc>
      </w:tr>
      <w:tr w:rsidR="00F35724" w:rsidRPr="00541D08" w:rsidTr="002B5C53">
        <w:tc>
          <w:tcPr>
            <w:tcW w:w="3617" w:type="dxa"/>
            <w:gridSpan w:val="2"/>
          </w:tcPr>
          <w:p w:rsidR="00F35724" w:rsidRPr="00541D08" w:rsidRDefault="00F35724" w:rsidP="002B5C53">
            <w:pPr>
              <w:pStyle w:val="NoSpacing"/>
              <w:rPr>
                <w:rFonts w:ascii="Calibri" w:hAnsi="Calibri"/>
                <w:b/>
                <w:sz w:val="22"/>
                <w:szCs w:val="22"/>
              </w:rPr>
            </w:pPr>
            <w:r w:rsidRPr="00541D08">
              <w:rPr>
                <w:rFonts w:ascii="Calibri" w:hAnsi="Calibri"/>
                <w:b/>
                <w:sz w:val="22"/>
                <w:szCs w:val="22"/>
              </w:rPr>
              <w:t xml:space="preserve">Teaching methods  </w:t>
            </w:r>
          </w:p>
        </w:tc>
        <w:tc>
          <w:tcPr>
            <w:tcW w:w="5311" w:type="dxa"/>
            <w:gridSpan w:val="3"/>
          </w:tcPr>
          <w:p w:rsidR="00F35724" w:rsidRPr="00541D08" w:rsidRDefault="00F35724" w:rsidP="002B5C53">
            <w:pPr>
              <w:jc w:val="both"/>
              <w:rPr>
                <w:lang w:val="it-IT"/>
              </w:rPr>
            </w:pPr>
            <w:r w:rsidRPr="00541D08">
              <w:rPr>
                <w:sz w:val="22"/>
                <w:szCs w:val="22"/>
                <w:lang w:val="it-IT"/>
              </w:rPr>
              <w:t>Lectures, numerical exercises, lab exercises, seminares.</w:t>
            </w:r>
          </w:p>
        </w:tc>
      </w:tr>
      <w:tr w:rsidR="00F35724" w:rsidRPr="00541D08" w:rsidTr="002B5C53">
        <w:tc>
          <w:tcPr>
            <w:tcW w:w="3617" w:type="dxa"/>
            <w:gridSpan w:val="2"/>
          </w:tcPr>
          <w:p w:rsidR="00F35724" w:rsidRPr="00541D08" w:rsidRDefault="00F35724" w:rsidP="002B5C53">
            <w:pPr>
              <w:pStyle w:val="NoSpacing"/>
              <w:rPr>
                <w:rFonts w:ascii="Calibri" w:hAnsi="Calibri"/>
                <w:b/>
                <w:sz w:val="22"/>
                <w:szCs w:val="22"/>
              </w:rPr>
            </w:pPr>
          </w:p>
        </w:tc>
        <w:tc>
          <w:tcPr>
            <w:tcW w:w="5311" w:type="dxa"/>
            <w:gridSpan w:val="3"/>
          </w:tcPr>
          <w:p w:rsidR="00F35724" w:rsidRPr="00541D08" w:rsidRDefault="00F35724" w:rsidP="002B5C53">
            <w:pPr>
              <w:pStyle w:val="NoSpacing"/>
              <w:rPr>
                <w:rFonts w:ascii="Calibri" w:hAnsi="Calibri"/>
                <w:i/>
                <w:sz w:val="22"/>
                <w:szCs w:val="22"/>
              </w:rPr>
            </w:pPr>
          </w:p>
        </w:tc>
      </w:tr>
      <w:tr w:rsidR="00F35724" w:rsidRPr="00541D08" w:rsidTr="002B5C53">
        <w:tc>
          <w:tcPr>
            <w:tcW w:w="3617" w:type="dxa"/>
            <w:gridSpan w:val="2"/>
          </w:tcPr>
          <w:p w:rsidR="00F35724" w:rsidRPr="00541D08" w:rsidRDefault="00F35724" w:rsidP="002B5C53">
            <w:pPr>
              <w:pStyle w:val="NoSpacing"/>
              <w:rPr>
                <w:rFonts w:ascii="Calibri" w:hAnsi="Calibri"/>
                <w:b/>
                <w:sz w:val="22"/>
                <w:szCs w:val="22"/>
              </w:rPr>
            </w:pPr>
            <w:r w:rsidRPr="00541D08">
              <w:rPr>
                <w:rFonts w:ascii="Calibri" w:hAnsi="Calibri"/>
                <w:b/>
                <w:sz w:val="22"/>
                <w:szCs w:val="22"/>
              </w:rPr>
              <w:t>Evaluation methods</w:t>
            </w:r>
          </w:p>
        </w:tc>
        <w:tc>
          <w:tcPr>
            <w:tcW w:w="5311" w:type="dxa"/>
            <w:gridSpan w:val="3"/>
          </w:tcPr>
          <w:p w:rsidR="00F35724" w:rsidRPr="00541D08" w:rsidRDefault="00F35724" w:rsidP="00837111">
            <w:pPr>
              <w:tabs>
                <w:tab w:val="left" w:pos="3583"/>
              </w:tabs>
              <w:jc w:val="both"/>
              <w:rPr>
                <w:lang w:val="it-IT"/>
              </w:rPr>
            </w:pPr>
            <w:r w:rsidRPr="00541D08">
              <w:rPr>
                <w:sz w:val="22"/>
                <w:szCs w:val="22"/>
                <w:lang w:val="it-IT"/>
              </w:rPr>
              <w:t xml:space="preserve">The first evaluation:                               20%, </w:t>
            </w:r>
          </w:p>
          <w:p w:rsidR="00F35724" w:rsidRPr="00541D08" w:rsidRDefault="00F35724" w:rsidP="00837111">
            <w:pPr>
              <w:tabs>
                <w:tab w:val="left" w:pos="3549"/>
              </w:tabs>
              <w:jc w:val="both"/>
              <w:rPr>
                <w:lang w:val="it-IT"/>
              </w:rPr>
            </w:pPr>
            <w:r w:rsidRPr="00541D08">
              <w:rPr>
                <w:sz w:val="22"/>
                <w:szCs w:val="22"/>
                <w:lang w:val="it-IT"/>
              </w:rPr>
              <w:t xml:space="preserve">The second evaluation:                           20%, </w:t>
            </w:r>
          </w:p>
          <w:p w:rsidR="00F35724" w:rsidRPr="00541D08" w:rsidRDefault="00F35724" w:rsidP="00837111">
            <w:pPr>
              <w:jc w:val="both"/>
              <w:rPr>
                <w:lang w:val="it-IT"/>
              </w:rPr>
            </w:pPr>
            <w:r w:rsidRPr="00541D08">
              <w:rPr>
                <w:sz w:val="22"/>
                <w:szCs w:val="22"/>
                <w:lang w:val="it-IT"/>
              </w:rPr>
              <w:t xml:space="preserve">Homework:                                             5%, </w:t>
            </w:r>
          </w:p>
          <w:p w:rsidR="00F35724" w:rsidRPr="00541D08" w:rsidRDefault="00F35724" w:rsidP="00837111">
            <w:pPr>
              <w:jc w:val="both"/>
              <w:rPr>
                <w:lang w:val="it-IT"/>
              </w:rPr>
            </w:pPr>
            <w:r w:rsidRPr="00541D08">
              <w:rPr>
                <w:sz w:val="22"/>
                <w:szCs w:val="22"/>
                <w:lang w:val="it-IT"/>
              </w:rPr>
              <w:t xml:space="preserve">Regular attendance                                 5%, </w:t>
            </w:r>
          </w:p>
          <w:p w:rsidR="00F35724" w:rsidRPr="00541D08" w:rsidRDefault="00F35724" w:rsidP="00837111">
            <w:pPr>
              <w:jc w:val="both"/>
              <w:rPr>
                <w:lang w:val="it-IT"/>
              </w:rPr>
            </w:pPr>
            <w:r w:rsidRPr="00541D08">
              <w:rPr>
                <w:sz w:val="22"/>
                <w:szCs w:val="22"/>
                <w:lang w:val="it-IT"/>
              </w:rPr>
              <w:t xml:space="preserve">Final exam (written and oral):                50%, </w:t>
            </w:r>
          </w:p>
          <w:p w:rsidR="00F35724" w:rsidRPr="00541D08" w:rsidRDefault="00F35724" w:rsidP="00837111">
            <w:pPr>
              <w:jc w:val="both"/>
              <w:rPr>
                <w:lang w:val="it-IT"/>
              </w:rPr>
            </w:pPr>
            <w:r w:rsidRPr="00541D08">
              <w:rPr>
                <w:sz w:val="22"/>
                <w:szCs w:val="22"/>
                <w:lang w:val="it-IT"/>
              </w:rPr>
              <w:t>Total:                                                     100%.</w:t>
            </w:r>
          </w:p>
          <w:p w:rsidR="00F35724" w:rsidRPr="00541D08" w:rsidRDefault="00F35724" w:rsidP="00837111">
            <w:pPr>
              <w:jc w:val="both"/>
            </w:pPr>
            <w:r w:rsidRPr="00541D08">
              <w:rPr>
                <w:sz w:val="22"/>
                <w:szCs w:val="22"/>
              </w:rPr>
              <w:t>The final grade  will be calculated as follows:</w:t>
            </w:r>
          </w:p>
          <w:p w:rsidR="00F35724" w:rsidRPr="00541D08" w:rsidRDefault="00F35724" w:rsidP="00837111">
            <w:pPr>
              <w:jc w:val="both"/>
            </w:pPr>
            <w:r w:rsidRPr="00541D08">
              <w:rPr>
                <w:sz w:val="22"/>
                <w:szCs w:val="22"/>
              </w:rPr>
              <w:t xml:space="preserve">51%- 60% = 6 </w:t>
            </w:r>
          </w:p>
          <w:p w:rsidR="00F35724" w:rsidRPr="00541D08" w:rsidRDefault="00F35724" w:rsidP="00837111">
            <w:pPr>
              <w:jc w:val="both"/>
            </w:pPr>
            <w:r w:rsidRPr="00541D08">
              <w:rPr>
                <w:sz w:val="22"/>
                <w:szCs w:val="22"/>
              </w:rPr>
              <w:t>61% -70% = 7</w:t>
            </w:r>
          </w:p>
          <w:p w:rsidR="00F35724" w:rsidRPr="00541D08" w:rsidRDefault="00F35724" w:rsidP="00837111">
            <w:pPr>
              <w:jc w:val="both"/>
            </w:pPr>
            <w:r w:rsidRPr="00541D08">
              <w:rPr>
                <w:sz w:val="22"/>
                <w:szCs w:val="22"/>
              </w:rPr>
              <w:t xml:space="preserve">71% - 80% = 8 </w:t>
            </w:r>
          </w:p>
          <w:p w:rsidR="00F35724" w:rsidRPr="00541D08" w:rsidRDefault="00F35724" w:rsidP="00837111">
            <w:pPr>
              <w:jc w:val="both"/>
            </w:pPr>
            <w:r w:rsidRPr="00541D08">
              <w:rPr>
                <w:sz w:val="22"/>
                <w:szCs w:val="22"/>
              </w:rPr>
              <w:t>81% - 90% = 9</w:t>
            </w:r>
          </w:p>
          <w:p w:rsidR="00F35724" w:rsidRPr="00541D08" w:rsidRDefault="00F35724" w:rsidP="00837111">
            <w:pPr>
              <w:jc w:val="both"/>
              <w:rPr>
                <w:lang w:val="it-IT"/>
              </w:rPr>
            </w:pPr>
            <w:r w:rsidRPr="00541D08">
              <w:rPr>
                <w:sz w:val="22"/>
                <w:szCs w:val="22"/>
              </w:rPr>
              <w:t>91%-100% =10</w:t>
            </w:r>
          </w:p>
        </w:tc>
      </w:tr>
      <w:tr w:rsidR="00F35724" w:rsidRPr="00541D08" w:rsidTr="002B5C53">
        <w:tc>
          <w:tcPr>
            <w:tcW w:w="8928" w:type="dxa"/>
            <w:gridSpan w:val="5"/>
            <w:shd w:val="clear" w:color="auto" w:fill="B8CCE4"/>
          </w:tcPr>
          <w:p w:rsidR="00F35724" w:rsidRPr="00541D08" w:rsidRDefault="00F35724" w:rsidP="002B5C53">
            <w:pPr>
              <w:pStyle w:val="NoSpacing"/>
              <w:rPr>
                <w:rFonts w:ascii="Calibri" w:hAnsi="Calibri"/>
                <w:b/>
                <w:sz w:val="22"/>
                <w:szCs w:val="22"/>
              </w:rPr>
            </w:pPr>
            <w:r w:rsidRPr="00541D08">
              <w:rPr>
                <w:rFonts w:ascii="Calibri" w:hAnsi="Calibri"/>
                <w:b/>
                <w:sz w:val="22"/>
                <w:szCs w:val="22"/>
              </w:rPr>
              <w:t>Literature</w:t>
            </w:r>
          </w:p>
        </w:tc>
      </w:tr>
      <w:tr w:rsidR="00F35724" w:rsidRPr="00541D08" w:rsidTr="00541D08">
        <w:trPr>
          <w:trHeight w:val="368"/>
        </w:trPr>
        <w:tc>
          <w:tcPr>
            <w:tcW w:w="2718" w:type="dxa"/>
          </w:tcPr>
          <w:p w:rsidR="00F35724" w:rsidRPr="00541D08" w:rsidRDefault="00F35724" w:rsidP="002B5C53">
            <w:pPr>
              <w:pStyle w:val="NoSpacing"/>
              <w:rPr>
                <w:rFonts w:ascii="Calibri" w:hAnsi="Calibri"/>
                <w:b/>
                <w:sz w:val="22"/>
                <w:szCs w:val="22"/>
              </w:rPr>
            </w:pPr>
            <w:r w:rsidRPr="00541D08">
              <w:rPr>
                <w:rFonts w:ascii="Calibri" w:hAnsi="Calibri"/>
                <w:b/>
                <w:sz w:val="22"/>
                <w:szCs w:val="22"/>
              </w:rPr>
              <w:t xml:space="preserve">Basic Literature:  </w:t>
            </w:r>
          </w:p>
          <w:p w:rsidR="00F35724" w:rsidRPr="00541D08" w:rsidRDefault="00F35724" w:rsidP="002B5C53">
            <w:pPr>
              <w:pStyle w:val="NoSpacing"/>
              <w:rPr>
                <w:rFonts w:ascii="Calibri" w:hAnsi="Calibri"/>
                <w:b/>
                <w:sz w:val="22"/>
                <w:szCs w:val="22"/>
              </w:rPr>
            </w:pPr>
          </w:p>
        </w:tc>
        <w:tc>
          <w:tcPr>
            <w:tcW w:w="6210" w:type="dxa"/>
            <w:gridSpan w:val="4"/>
          </w:tcPr>
          <w:p w:rsidR="00F35724" w:rsidRPr="00541D08" w:rsidRDefault="00F35724" w:rsidP="002B5C53">
            <w:pPr>
              <w:pStyle w:val="ListParagraph"/>
              <w:spacing w:line="276" w:lineRule="auto"/>
              <w:ind w:left="0"/>
              <w:jc w:val="both"/>
              <w:rPr>
                <w:lang w:val="it-IT"/>
              </w:rPr>
            </w:pPr>
            <w:hyperlink r:id="rId9" w:history="1">
              <w:r w:rsidRPr="00541D08">
                <w:rPr>
                  <w:rStyle w:val="Hyperlink"/>
                  <w:color w:val="auto"/>
                  <w:sz w:val="22"/>
                  <w:szCs w:val="22"/>
                  <w:u w:val="none"/>
                  <w:shd w:val="clear" w:color="auto" w:fill="FFFFFF"/>
                </w:rPr>
                <w:t>Daniel C. Harris</w:t>
              </w:r>
            </w:hyperlink>
            <w:r w:rsidRPr="00541D08">
              <w:rPr>
                <w:sz w:val="22"/>
                <w:szCs w:val="22"/>
              </w:rPr>
              <w:t xml:space="preserve">, </w:t>
            </w:r>
            <w:r w:rsidRPr="00541D08">
              <w:rPr>
                <w:bCs/>
                <w:sz w:val="22"/>
                <w:szCs w:val="22"/>
              </w:rPr>
              <w:t>Quantitative Chemical Analysis, 2015.</w:t>
            </w:r>
          </w:p>
        </w:tc>
      </w:tr>
      <w:tr w:rsidR="00F35724" w:rsidRPr="00541D08" w:rsidTr="002B5C53">
        <w:tc>
          <w:tcPr>
            <w:tcW w:w="2718" w:type="dxa"/>
          </w:tcPr>
          <w:p w:rsidR="00F35724" w:rsidRPr="00541D08" w:rsidRDefault="00F35724" w:rsidP="002B5C53">
            <w:pPr>
              <w:pStyle w:val="NoSpacing"/>
              <w:rPr>
                <w:rFonts w:ascii="Calibri" w:hAnsi="Calibri"/>
                <w:b/>
                <w:sz w:val="22"/>
                <w:szCs w:val="22"/>
              </w:rPr>
            </w:pPr>
            <w:r w:rsidRPr="00541D08">
              <w:rPr>
                <w:rFonts w:ascii="Calibri" w:hAnsi="Calibri"/>
                <w:b/>
                <w:sz w:val="22"/>
                <w:szCs w:val="22"/>
              </w:rPr>
              <w:t xml:space="preserve">Additional Literature </w:t>
            </w:r>
          </w:p>
        </w:tc>
        <w:tc>
          <w:tcPr>
            <w:tcW w:w="6210" w:type="dxa"/>
            <w:gridSpan w:val="4"/>
          </w:tcPr>
          <w:p w:rsidR="00F35724" w:rsidRPr="00541D08" w:rsidRDefault="00F35724" w:rsidP="002B5C53">
            <w:pPr>
              <w:pStyle w:val="ListParagraph"/>
              <w:autoSpaceDE w:val="0"/>
              <w:autoSpaceDN w:val="0"/>
              <w:adjustRightInd w:val="0"/>
              <w:ind w:left="0"/>
              <w:jc w:val="both"/>
              <w:rPr>
                <w:rFonts w:eastAsia="Calibri"/>
                <w:bCs/>
              </w:rPr>
            </w:pPr>
            <w:r w:rsidRPr="00541D08">
              <w:rPr>
                <w:sz w:val="22"/>
                <w:szCs w:val="22"/>
                <w:lang w:val="de-DE"/>
              </w:rPr>
              <w:t>Daut Vezi, Bazat teorike t</w:t>
            </w:r>
            <w:r w:rsidRPr="00541D08">
              <w:rPr>
                <w:sz w:val="22"/>
                <w:szCs w:val="22"/>
              </w:rPr>
              <w:t xml:space="preserve">ë </w:t>
            </w:r>
            <w:proofErr w:type="spellStart"/>
            <w:r w:rsidRPr="00541D08">
              <w:rPr>
                <w:sz w:val="22"/>
                <w:szCs w:val="22"/>
              </w:rPr>
              <w:t>kimisë</w:t>
            </w:r>
            <w:proofErr w:type="spellEnd"/>
            <w:r w:rsidRPr="00541D08">
              <w:rPr>
                <w:sz w:val="22"/>
                <w:szCs w:val="22"/>
              </w:rPr>
              <w:t xml:space="preserve"> </w:t>
            </w:r>
            <w:proofErr w:type="spellStart"/>
            <w:r w:rsidRPr="00541D08">
              <w:rPr>
                <w:sz w:val="22"/>
                <w:szCs w:val="22"/>
              </w:rPr>
              <w:t>analitike</w:t>
            </w:r>
            <w:proofErr w:type="spellEnd"/>
            <w:r w:rsidRPr="00541D08">
              <w:rPr>
                <w:sz w:val="22"/>
                <w:szCs w:val="22"/>
              </w:rPr>
              <w:t xml:space="preserve">, </w:t>
            </w:r>
            <w:proofErr w:type="spellStart"/>
            <w:r w:rsidRPr="00541D08">
              <w:rPr>
                <w:sz w:val="22"/>
                <w:szCs w:val="22"/>
              </w:rPr>
              <w:t>Tiranë</w:t>
            </w:r>
            <w:proofErr w:type="spellEnd"/>
            <w:r w:rsidRPr="00541D08">
              <w:rPr>
                <w:sz w:val="22"/>
                <w:szCs w:val="22"/>
              </w:rPr>
              <w:t>, 2007.</w:t>
            </w:r>
          </w:p>
          <w:p w:rsidR="00F35724" w:rsidRPr="00541D08" w:rsidRDefault="00F35724" w:rsidP="002B5C53">
            <w:pPr>
              <w:pStyle w:val="ListParagraph"/>
              <w:autoSpaceDE w:val="0"/>
              <w:autoSpaceDN w:val="0"/>
              <w:adjustRightInd w:val="0"/>
              <w:ind w:left="0"/>
              <w:jc w:val="both"/>
              <w:rPr>
                <w:rFonts w:eastAsia="Calibri"/>
                <w:bCs/>
                <w:iCs/>
              </w:rPr>
            </w:pPr>
            <w:r w:rsidRPr="00541D08">
              <w:rPr>
                <w:rFonts w:eastAsia="Calibri"/>
                <w:bCs/>
                <w:sz w:val="22"/>
                <w:szCs w:val="22"/>
              </w:rPr>
              <w:t xml:space="preserve">Douglas A. </w:t>
            </w:r>
            <w:proofErr w:type="spellStart"/>
            <w:r w:rsidRPr="00541D08">
              <w:rPr>
                <w:rFonts w:eastAsia="Calibri"/>
                <w:bCs/>
                <w:sz w:val="22"/>
                <w:szCs w:val="22"/>
              </w:rPr>
              <w:t>Skoog</w:t>
            </w:r>
            <w:proofErr w:type="spellEnd"/>
            <w:r w:rsidRPr="00541D08">
              <w:rPr>
                <w:rFonts w:eastAsia="Calibri"/>
                <w:bCs/>
                <w:sz w:val="22"/>
                <w:szCs w:val="22"/>
              </w:rPr>
              <w:t xml:space="preserve">, Donald M. West, F. James Holler, Stanley R. Crouch, </w:t>
            </w:r>
            <w:r w:rsidRPr="00541D08">
              <w:rPr>
                <w:rFonts w:eastAsia="Calibri"/>
                <w:bCs/>
                <w:iCs/>
                <w:sz w:val="22"/>
                <w:szCs w:val="22"/>
              </w:rPr>
              <w:t>Fundamentals of analytical chemistry, 2004.</w:t>
            </w:r>
          </w:p>
        </w:tc>
      </w:tr>
    </w:tbl>
    <w:p w:rsidR="00E63674" w:rsidRPr="00837111" w:rsidRDefault="00E63674" w:rsidP="00E63674">
      <w:pPr>
        <w:rPr>
          <w:vanish/>
          <w:sz w:val="22"/>
          <w:szCs w:val="22"/>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210"/>
      </w:tblGrid>
      <w:tr w:rsidR="00E63674" w:rsidRPr="00837111" w:rsidTr="002B5C53">
        <w:tc>
          <w:tcPr>
            <w:tcW w:w="8928" w:type="dxa"/>
            <w:gridSpan w:val="2"/>
            <w:shd w:val="clear" w:color="auto" w:fill="B8CCE4"/>
          </w:tcPr>
          <w:p w:rsidR="00E63674" w:rsidRPr="00837111" w:rsidRDefault="00E63674" w:rsidP="002B5C53">
            <w:pPr>
              <w:rPr>
                <w:rFonts w:ascii="Calibri" w:hAnsi="Calibri"/>
                <w:b/>
              </w:rPr>
            </w:pPr>
            <w:r w:rsidRPr="00837111">
              <w:rPr>
                <w:rFonts w:ascii="Calibri" w:hAnsi="Calibri"/>
                <w:b/>
                <w:sz w:val="22"/>
                <w:szCs w:val="22"/>
              </w:rPr>
              <w:t xml:space="preserve">Designed study plan:  </w:t>
            </w:r>
          </w:p>
        </w:tc>
      </w:tr>
      <w:tr w:rsidR="00E63674" w:rsidRPr="00837111" w:rsidTr="002B5C53">
        <w:tc>
          <w:tcPr>
            <w:tcW w:w="2718" w:type="dxa"/>
            <w:shd w:val="clear" w:color="auto" w:fill="B8CCE4"/>
          </w:tcPr>
          <w:p w:rsidR="00E63674" w:rsidRPr="00837111" w:rsidRDefault="00E63674" w:rsidP="002B5C53">
            <w:pPr>
              <w:rPr>
                <w:rFonts w:ascii="Calibri" w:hAnsi="Calibri"/>
                <w:b/>
              </w:rPr>
            </w:pPr>
            <w:r w:rsidRPr="00837111">
              <w:rPr>
                <w:rFonts w:ascii="Calibri" w:hAnsi="Calibri"/>
                <w:b/>
                <w:sz w:val="22"/>
                <w:szCs w:val="22"/>
              </w:rPr>
              <w:t>Week</w:t>
            </w:r>
          </w:p>
        </w:tc>
        <w:tc>
          <w:tcPr>
            <w:tcW w:w="6210" w:type="dxa"/>
            <w:shd w:val="clear" w:color="auto" w:fill="B8CCE4"/>
          </w:tcPr>
          <w:p w:rsidR="00E63674" w:rsidRPr="00837111" w:rsidRDefault="00E63674" w:rsidP="002B5C53">
            <w:pPr>
              <w:rPr>
                <w:rFonts w:ascii="Calibri" w:hAnsi="Calibri"/>
                <w:b/>
              </w:rPr>
            </w:pPr>
            <w:r w:rsidRPr="00837111">
              <w:rPr>
                <w:rFonts w:ascii="Calibri" w:hAnsi="Calibri"/>
                <w:b/>
                <w:sz w:val="22"/>
                <w:szCs w:val="22"/>
              </w:rPr>
              <w:t>Lectures which will be held</w:t>
            </w:r>
          </w:p>
        </w:tc>
      </w:tr>
      <w:tr w:rsidR="00E63674" w:rsidRPr="00837111" w:rsidTr="002B5C53">
        <w:tc>
          <w:tcPr>
            <w:tcW w:w="2718" w:type="dxa"/>
          </w:tcPr>
          <w:p w:rsidR="00E63674" w:rsidRPr="00837111" w:rsidRDefault="00E63674" w:rsidP="002B5C53">
            <w:pPr>
              <w:rPr>
                <w:rFonts w:ascii="Calibri" w:hAnsi="Calibri"/>
                <w:b/>
                <w:i/>
              </w:rPr>
            </w:pPr>
            <w:r w:rsidRPr="00837111">
              <w:rPr>
                <w:rFonts w:ascii="Calibri" w:hAnsi="Calibri"/>
                <w:b/>
                <w:i/>
                <w:sz w:val="22"/>
                <w:szCs w:val="22"/>
              </w:rPr>
              <w:t>First week:</w:t>
            </w:r>
          </w:p>
        </w:tc>
        <w:tc>
          <w:tcPr>
            <w:tcW w:w="6210" w:type="dxa"/>
          </w:tcPr>
          <w:p w:rsidR="00E63674" w:rsidRPr="00837111" w:rsidRDefault="00E947BD" w:rsidP="002B5C53">
            <w:pPr>
              <w:autoSpaceDE w:val="0"/>
              <w:autoSpaceDN w:val="0"/>
              <w:adjustRightInd w:val="0"/>
              <w:jc w:val="both"/>
            </w:pPr>
            <w:r w:rsidRPr="00837111">
              <w:rPr>
                <w:sz w:val="22"/>
                <w:szCs w:val="22"/>
              </w:rPr>
              <w:t>Introduction, C</w:t>
            </w:r>
            <w:r w:rsidR="00E63674" w:rsidRPr="00837111">
              <w:rPr>
                <w:sz w:val="22"/>
                <w:szCs w:val="22"/>
              </w:rPr>
              <w:t xml:space="preserve">lassification of quantitative chemical analysis methods, </w:t>
            </w:r>
            <w:r w:rsidRPr="00837111">
              <w:rPr>
                <w:sz w:val="22"/>
                <w:szCs w:val="22"/>
              </w:rPr>
              <w:t>V</w:t>
            </w:r>
            <w:r w:rsidR="00E63674" w:rsidRPr="00837111">
              <w:rPr>
                <w:sz w:val="22"/>
                <w:szCs w:val="22"/>
              </w:rPr>
              <w:t>olumetric and gravimetric analysis, ways to develop quantitative analysis.</w:t>
            </w:r>
          </w:p>
        </w:tc>
      </w:tr>
      <w:tr w:rsidR="00E63674" w:rsidRPr="00837111" w:rsidTr="002B5C53">
        <w:tc>
          <w:tcPr>
            <w:tcW w:w="2718" w:type="dxa"/>
          </w:tcPr>
          <w:p w:rsidR="00E63674" w:rsidRPr="00837111" w:rsidRDefault="00E63674" w:rsidP="002B5C53">
            <w:pPr>
              <w:rPr>
                <w:rFonts w:ascii="Calibri" w:hAnsi="Calibri"/>
                <w:b/>
                <w:i/>
              </w:rPr>
            </w:pPr>
            <w:r w:rsidRPr="00837111">
              <w:rPr>
                <w:rFonts w:ascii="Calibri" w:hAnsi="Calibri"/>
                <w:b/>
                <w:i/>
                <w:sz w:val="22"/>
                <w:szCs w:val="22"/>
              </w:rPr>
              <w:t>Second  week:</w:t>
            </w:r>
          </w:p>
        </w:tc>
        <w:tc>
          <w:tcPr>
            <w:tcW w:w="6210" w:type="dxa"/>
          </w:tcPr>
          <w:p w:rsidR="00E63674" w:rsidRPr="00837111" w:rsidRDefault="00D47D5C" w:rsidP="00D47D5C">
            <w:pPr>
              <w:autoSpaceDE w:val="0"/>
              <w:autoSpaceDN w:val="0"/>
              <w:adjustRightInd w:val="0"/>
              <w:jc w:val="both"/>
              <w:rPr>
                <w:rFonts w:eastAsia="Calibri"/>
              </w:rPr>
            </w:pPr>
            <w:r w:rsidRPr="00837111">
              <w:rPr>
                <w:rFonts w:eastAsia="Calibri"/>
                <w:sz w:val="22"/>
                <w:szCs w:val="22"/>
              </w:rPr>
              <w:t xml:space="preserve">Systematic </w:t>
            </w:r>
            <w:r w:rsidR="00E947BD" w:rsidRPr="00837111">
              <w:rPr>
                <w:rFonts w:eastAsia="Calibri"/>
                <w:sz w:val="22"/>
                <w:szCs w:val="22"/>
              </w:rPr>
              <w:t>approach to chemical analysis, Sample, sample of preparation, Evaluation of analytical data, E</w:t>
            </w:r>
            <w:r w:rsidRPr="00837111">
              <w:rPr>
                <w:rFonts w:eastAsia="Calibri"/>
                <w:sz w:val="22"/>
                <w:szCs w:val="22"/>
              </w:rPr>
              <w:t>rrors in quantitative analytical chemistry,</w:t>
            </w:r>
            <w:r w:rsidR="003E6513" w:rsidRPr="00837111">
              <w:rPr>
                <w:rFonts w:eastAsia="Calibri"/>
                <w:sz w:val="22"/>
                <w:szCs w:val="22"/>
              </w:rPr>
              <w:t xml:space="preserve"> </w:t>
            </w:r>
            <w:r w:rsidR="00E947BD" w:rsidRPr="00837111">
              <w:rPr>
                <w:sz w:val="22"/>
                <w:szCs w:val="22"/>
              </w:rPr>
              <w:t>E</w:t>
            </w:r>
            <w:r w:rsidR="003E6513" w:rsidRPr="00837111">
              <w:rPr>
                <w:sz w:val="22"/>
                <w:szCs w:val="22"/>
              </w:rPr>
              <w:t>rrors in chemical analyses.</w:t>
            </w:r>
          </w:p>
        </w:tc>
      </w:tr>
      <w:tr w:rsidR="003E6513" w:rsidRPr="00837111" w:rsidTr="002B5C53">
        <w:tc>
          <w:tcPr>
            <w:tcW w:w="2718" w:type="dxa"/>
          </w:tcPr>
          <w:p w:rsidR="003E6513" w:rsidRPr="00837111" w:rsidRDefault="003E6513" w:rsidP="002B5C53">
            <w:pPr>
              <w:rPr>
                <w:rFonts w:ascii="Calibri" w:hAnsi="Calibri"/>
                <w:b/>
                <w:i/>
              </w:rPr>
            </w:pPr>
            <w:r w:rsidRPr="00837111">
              <w:rPr>
                <w:rFonts w:ascii="Calibri" w:hAnsi="Calibri"/>
                <w:b/>
                <w:i/>
                <w:sz w:val="22"/>
                <w:szCs w:val="22"/>
              </w:rPr>
              <w:t>Third  week:</w:t>
            </w:r>
          </w:p>
        </w:tc>
        <w:tc>
          <w:tcPr>
            <w:tcW w:w="6210" w:type="dxa"/>
          </w:tcPr>
          <w:p w:rsidR="003E6513" w:rsidRPr="00837111" w:rsidRDefault="00E947BD" w:rsidP="00D47D5C">
            <w:pPr>
              <w:autoSpaceDE w:val="0"/>
              <w:autoSpaceDN w:val="0"/>
              <w:adjustRightInd w:val="0"/>
              <w:jc w:val="both"/>
              <w:rPr>
                <w:rFonts w:eastAsia="Calibri"/>
              </w:rPr>
            </w:pPr>
            <w:r w:rsidRPr="00837111">
              <w:rPr>
                <w:rFonts w:eastAsia="Calibri"/>
                <w:sz w:val="22"/>
                <w:szCs w:val="22"/>
              </w:rPr>
              <w:t>Systematic errors, R</w:t>
            </w:r>
            <w:r w:rsidR="003E6513" w:rsidRPr="00837111">
              <w:rPr>
                <w:rFonts w:eastAsia="Calibri"/>
                <w:sz w:val="22"/>
                <w:szCs w:val="22"/>
              </w:rPr>
              <w:t>andom errors in chemical analysis</w:t>
            </w:r>
            <w:r w:rsidRPr="00837111">
              <w:rPr>
                <w:rFonts w:eastAsia="Calibri"/>
                <w:sz w:val="22"/>
                <w:szCs w:val="22"/>
              </w:rPr>
              <w:t>, The nature of random errors, C</w:t>
            </w:r>
            <w:r w:rsidR="003E6513" w:rsidRPr="00837111">
              <w:rPr>
                <w:rFonts w:eastAsia="Calibri"/>
                <w:sz w:val="22"/>
                <w:szCs w:val="22"/>
              </w:rPr>
              <w:t xml:space="preserve">alibration and standardization, </w:t>
            </w:r>
            <w:r w:rsidR="003E6513" w:rsidRPr="00837111">
              <w:rPr>
                <w:sz w:val="22"/>
                <w:szCs w:val="22"/>
              </w:rPr>
              <w:t>gr</w:t>
            </w:r>
            <w:r w:rsidRPr="00837111">
              <w:rPr>
                <w:sz w:val="22"/>
                <w:szCs w:val="22"/>
              </w:rPr>
              <w:t>avimetric methods of analysis, P</w:t>
            </w:r>
            <w:r w:rsidR="003E6513" w:rsidRPr="00837111">
              <w:rPr>
                <w:sz w:val="22"/>
                <w:szCs w:val="22"/>
              </w:rPr>
              <w:t>article size and purity of the precipitate.</w:t>
            </w:r>
          </w:p>
        </w:tc>
      </w:tr>
      <w:tr w:rsidR="003E6513" w:rsidRPr="00837111" w:rsidTr="002B5C53">
        <w:tc>
          <w:tcPr>
            <w:tcW w:w="2718" w:type="dxa"/>
          </w:tcPr>
          <w:p w:rsidR="003E6513" w:rsidRPr="00837111" w:rsidRDefault="003E6513" w:rsidP="003E6513">
            <w:pPr>
              <w:rPr>
                <w:rFonts w:ascii="Calibri" w:hAnsi="Calibri"/>
                <w:b/>
                <w:i/>
              </w:rPr>
            </w:pPr>
            <w:r w:rsidRPr="00837111">
              <w:rPr>
                <w:rFonts w:ascii="Calibri" w:hAnsi="Calibri"/>
                <w:b/>
                <w:i/>
                <w:sz w:val="22"/>
                <w:szCs w:val="22"/>
              </w:rPr>
              <w:t>Fourth  week:</w:t>
            </w:r>
          </w:p>
        </w:tc>
        <w:tc>
          <w:tcPr>
            <w:tcW w:w="6210" w:type="dxa"/>
          </w:tcPr>
          <w:p w:rsidR="003E6513" w:rsidRPr="00837111" w:rsidRDefault="003E6513" w:rsidP="003E6513">
            <w:pPr>
              <w:autoSpaceDE w:val="0"/>
              <w:autoSpaceDN w:val="0"/>
              <w:adjustRightInd w:val="0"/>
              <w:jc w:val="both"/>
              <w:rPr>
                <w:rFonts w:eastAsia="Calibri"/>
              </w:rPr>
            </w:pPr>
            <w:r w:rsidRPr="00837111">
              <w:rPr>
                <w:rFonts w:eastAsia="Calibri"/>
                <w:sz w:val="22"/>
                <w:szCs w:val="22"/>
              </w:rPr>
              <w:t>Reagents prec</w:t>
            </w:r>
            <w:r w:rsidR="00E947BD" w:rsidRPr="00837111">
              <w:rPr>
                <w:rFonts w:eastAsia="Calibri"/>
                <w:sz w:val="22"/>
                <w:szCs w:val="22"/>
              </w:rPr>
              <w:t>ipitation, F</w:t>
            </w:r>
            <w:r w:rsidRPr="00837111">
              <w:rPr>
                <w:rFonts w:eastAsia="Calibri"/>
                <w:sz w:val="22"/>
                <w:szCs w:val="22"/>
              </w:rPr>
              <w:t>iltration and washing of the precipitates,</w:t>
            </w:r>
            <w:r w:rsidR="00E947BD" w:rsidRPr="00837111">
              <w:rPr>
                <w:rFonts w:eastAsia="Calibri"/>
                <w:sz w:val="22"/>
                <w:szCs w:val="22"/>
              </w:rPr>
              <w:t xml:space="preserve"> D</w:t>
            </w:r>
            <w:r w:rsidR="00075D97" w:rsidRPr="00837111">
              <w:rPr>
                <w:rFonts w:eastAsia="Calibri"/>
                <w:sz w:val="22"/>
                <w:szCs w:val="22"/>
              </w:rPr>
              <w:t xml:space="preserve">rying and </w:t>
            </w:r>
            <w:r w:rsidR="002D3FBA" w:rsidRPr="00837111">
              <w:rPr>
                <w:rFonts w:eastAsia="Calibri"/>
                <w:sz w:val="22"/>
                <w:szCs w:val="22"/>
              </w:rPr>
              <w:t>calcinations</w:t>
            </w:r>
            <w:r w:rsidR="00075D97" w:rsidRPr="00837111">
              <w:rPr>
                <w:rFonts w:eastAsia="Calibri"/>
                <w:sz w:val="22"/>
                <w:szCs w:val="22"/>
              </w:rPr>
              <w:t xml:space="preserve"> of precipitates</w:t>
            </w:r>
            <w:r w:rsidR="007B7932" w:rsidRPr="00837111">
              <w:rPr>
                <w:rFonts w:eastAsia="Calibri"/>
                <w:sz w:val="22"/>
                <w:szCs w:val="22"/>
              </w:rPr>
              <w:t xml:space="preserve">, </w:t>
            </w:r>
            <w:r w:rsidR="007B7932" w:rsidRPr="00837111">
              <w:rPr>
                <w:sz w:val="22"/>
                <w:szCs w:val="22"/>
              </w:rPr>
              <w:t xml:space="preserve">Occurrences </w:t>
            </w:r>
            <w:r w:rsidR="00E947BD" w:rsidRPr="00837111">
              <w:rPr>
                <w:sz w:val="22"/>
                <w:szCs w:val="22"/>
              </w:rPr>
              <w:t xml:space="preserve">of precipitation, Colloidal solutions, </w:t>
            </w:r>
            <w:proofErr w:type="spellStart"/>
            <w:r w:rsidR="00E947BD" w:rsidRPr="00837111">
              <w:rPr>
                <w:sz w:val="22"/>
                <w:szCs w:val="22"/>
              </w:rPr>
              <w:t>Peptization</w:t>
            </w:r>
            <w:proofErr w:type="spellEnd"/>
            <w:r w:rsidR="00E947BD" w:rsidRPr="00837111">
              <w:rPr>
                <w:sz w:val="22"/>
                <w:szCs w:val="22"/>
              </w:rPr>
              <w:t>, Occurrence of flocculation, C</w:t>
            </w:r>
            <w:r w:rsidR="00075D97" w:rsidRPr="00837111">
              <w:rPr>
                <w:sz w:val="22"/>
                <w:szCs w:val="22"/>
              </w:rPr>
              <w:t xml:space="preserve">alculation of </w:t>
            </w:r>
            <w:r w:rsidR="00E947BD" w:rsidRPr="00837111">
              <w:rPr>
                <w:sz w:val="22"/>
                <w:szCs w:val="22"/>
              </w:rPr>
              <w:t>results from gravimetric data, G</w:t>
            </w:r>
            <w:r w:rsidR="00075D97" w:rsidRPr="00837111">
              <w:rPr>
                <w:sz w:val="22"/>
                <w:szCs w:val="22"/>
              </w:rPr>
              <w:t>ravimetric determination.</w:t>
            </w:r>
          </w:p>
        </w:tc>
      </w:tr>
      <w:tr w:rsidR="003E6513" w:rsidRPr="00837111" w:rsidTr="002B5C53">
        <w:tc>
          <w:tcPr>
            <w:tcW w:w="2718" w:type="dxa"/>
          </w:tcPr>
          <w:p w:rsidR="003E6513" w:rsidRPr="00837111" w:rsidRDefault="00075D97" w:rsidP="003E6513">
            <w:pPr>
              <w:rPr>
                <w:rFonts w:ascii="Calibri" w:hAnsi="Calibri"/>
                <w:b/>
                <w:i/>
              </w:rPr>
            </w:pPr>
            <w:r w:rsidRPr="00837111">
              <w:rPr>
                <w:rFonts w:ascii="Calibri" w:hAnsi="Calibri"/>
                <w:b/>
                <w:i/>
                <w:sz w:val="22"/>
                <w:szCs w:val="22"/>
              </w:rPr>
              <w:t>Fifth  week:</w:t>
            </w:r>
          </w:p>
        </w:tc>
        <w:tc>
          <w:tcPr>
            <w:tcW w:w="6210" w:type="dxa"/>
          </w:tcPr>
          <w:p w:rsidR="003E6513" w:rsidRPr="00837111" w:rsidRDefault="003E6513" w:rsidP="003E6513">
            <w:pPr>
              <w:pStyle w:val="Default"/>
              <w:tabs>
                <w:tab w:val="left" w:pos="6012"/>
              </w:tabs>
              <w:ind w:right="-90"/>
              <w:rPr>
                <w:sz w:val="22"/>
                <w:szCs w:val="22"/>
              </w:rPr>
            </w:pPr>
            <w:r w:rsidRPr="00837111">
              <w:rPr>
                <w:sz w:val="22"/>
                <w:szCs w:val="22"/>
              </w:rPr>
              <w:t>The b</w:t>
            </w:r>
            <w:r w:rsidR="00E947BD" w:rsidRPr="00837111">
              <w:rPr>
                <w:sz w:val="22"/>
                <w:szCs w:val="22"/>
              </w:rPr>
              <w:t>asic principles of volumetric, Standard solutions, P</w:t>
            </w:r>
            <w:r w:rsidRPr="00837111">
              <w:rPr>
                <w:sz w:val="22"/>
                <w:szCs w:val="22"/>
              </w:rPr>
              <w:t>r</w:t>
            </w:r>
            <w:r w:rsidR="00E947BD" w:rsidRPr="00837111">
              <w:rPr>
                <w:sz w:val="22"/>
                <w:szCs w:val="22"/>
              </w:rPr>
              <w:t>imary and secondary solutions, C</w:t>
            </w:r>
            <w:r w:rsidRPr="00837111">
              <w:rPr>
                <w:sz w:val="22"/>
                <w:szCs w:val="22"/>
              </w:rPr>
              <w:t>lassif</w:t>
            </w:r>
            <w:r w:rsidR="00E947BD" w:rsidRPr="00837111">
              <w:rPr>
                <w:sz w:val="22"/>
                <w:szCs w:val="22"/>
              </w:rPr>
              <w:t>ication of volumetric methods, Titration, Types of titration, V</w:t>
            </w:r>
            <w:r w:rsidRPr="00837111">
              <w:rPr>
                <w:sz w:val="22"/>
                <w:szCs w:val="22"/>
              </w:rPr>
              <w:t>olumetric calculations.</w:t>
            </w:r>
          </w:p>
        </w:tc>
      </w:tr>
      <w:tr w:rsidR="003E6513" w:rsidRPr="00837111" w:rsidTr="002B5C53">
        <w:tc>
          <w:tcPr>
            <w:tcW w:w="2718" w:type="dxa"/>
          </w:tcPr>
          <w:p w:rsidR="003E6513" w:rsidRPr="00837111" w:rsidRDefault="00075D97" w:rsidP="003E6513">
            <w:pPr>
              <w:rPr>
                <w:rFonts w:ascii="Calibri" w:hAnsi="Calibri"/>
                <w:b/>
                <w:i/>
              </w:rPr>
            </w:pPr>
            <w:r w:rsidRPr="00837111">
              <w:rPr>
                <w:rFonts w:ascii="Calibri" w:hAnsi="Calibri"/>
                <w:b/>
                <w:i/>
                <w:sz w:val="22"/>
                <w:szCs w:val="22"/>
              </w:rPr>
              <w:lastRenderedPageBreak/>
              <w:t>Sixth  week:</w:t>
            </w:r>
          </w:p>
        </w:tc>
        <w:tc>
          <w:tcPr>
            <w:tcW w:w="6210" w:type="dxa"/>
          </w:tcPr>
          <w:p w:rsidR="003E6513" w:rsidRPr="00837111" w:rsidRDefault="00E947BD" w:rsidP="00DE00AD">
            <w:pPr>
              <w:pStyle w:val="Default"/>
              <w:tabs>
                <w:tab w:val="left" w:pos="6012"/>
              </w:tabs>
              <w:jc w:val="both"/>
              <w:rPr>
                <w:sz w:val="22"/>
                <w:szCs w:val="22"/>
              </w:rPr>
            </w:pPr>
            <w:r w:rsidRPr="00837111">
              <w:rPr>
                <w:sz w:val="22"/>
                <w:szCs w:val="22"/>
              </w:rPr>
              <w:t>Methods of neutralization, I</w:t>
            </w:r>
            <w:r w:rsidR="003E6513" w:rsidRPr="00837111">
              <w:rPr>
                <w:sz w:val="22"/>
                <w:szCs w:val="22"/>
              </w:rPr>
              <w:t xml:space="preserve">ndicators </w:t>
            </w:r>
            <w:r w:rsidRPr="00837111">
              <w:rPr>
                <w:sz w:val="22"/>
                <w:szCs w:val="22"/>
              </w:rPr>
              <w:t>acid-base, T</w:t>
            </w:r>
            <w:r w:rsidR="003E6513" w:rsidRPr="00837111">
              <w:rPr>
                <w:sz w:val="22"/>
                <w:szCs w:val="22"/>
              </w:rPr>
              <w:t>itration of strong acids with strong b</w:t>
            </w:r>
            <w:r w:rsidRPr="00837111">
              <w:rPr>
                <w:sz w:val="22"/>
                <w:szCs w:val="22"/>
              </w:rPr>
              <w:t>ases, T</w:t>
            </w:r>
            <w:r w:rsidR="00DE00AD" w:rsidRPr="00837111">
              <w:rPr>
                <w:sz w:val="22"/>
                <w:szCs w:val="22"/>
              </w:rPr>
              <w:t xml:space="preserve">itration of strong bases </w:t>
            </w:r>
            <w:proofErr w:type="gramStart"/>
            <w:r w:rsidRPr="00837111">
              <w:rPr>
                <w:sz w:val="22"/>
                <w:szCs w:val="22"/>
              </w:rPr>
              <w:t>with  strong</w:t>
            </w:r>
            <w:proofErr w:type="gramEnd"/>
            <w:r w:rsidRPr="00837111">
              <w:rPr>
                <w:sz w:val="22"/>
                <w:szCs w:val="22"/>
              </w:rPr>
              <w:t xml:space="preserve"> acids, T</w:t>
            </w:r>
            <w:r w:rsidR="003E6513" w:rsidRPr="00837111">
              <w:rPr>
                <w:sz w:val="22"/>
                <w:szCs w:val="22"/>
              </w:rPr>
              <w:t>itratio</w:t>
            </w:r>
            <w:r w:rsidR="00075D97" w:rsidRPr="00837111">
              <w:rPr>
                <w:sz w:val="22"/>
                <w:szCs w:val="22"/>
              </w:rPr>
              <w:t>n of weak acid with strong base.</w:t>
            </w:r>
            <w:r w:rsidR="003E6513" w:rsidRPr="00837111">
              <w:rPr>
                <w:sz w:val="22"/>
                <w:szCs w:val="22"/>
              </w:rPr>
              <w:t xml:space="preserve"> </w:t>
            </w:r>
          </w:p>
        </w:tc>
      </w:tr>
      <w:tr w:rsidR="00075D97" w:rsidRPr="00837111" w:rsidTr="002B5C53">
        <w:tc>
          <w:tcPr>
            <w:tcW w:w="2718" w:type="dxa"/>
          </w:tcPr>
          <w:p w:rsidR="00075D97" w:rsidRPr="00837111" w:rsidRDefault="00075D97" w:rsidP="00075D97">
            <w:pPr>
              <w:rPr>
                <w:rFonts w:ascii="Calibri" w:hAnsi="Calibri"/>
                <w:b/>
                <w:i/>
              </w:rPr>
            </w:pPr>
            <w:r w:rsidRPr="00837111">
              <w:rPr>
                <w:rFonts w:ascii="Calibri" w:hAnsi="Calibri"/>
                <w:b/>
                <w:i/>
                <w:sz w:val="22"/>
                <w:szCs w:val="22"/>
              </w:rPr>
              <w:t>Seventh  week:</w:t>
            </w:r>
          </w:p>
        </w:tc>
        <w:tc>
          <w:tcPr>
            <w:tcW w:w="6210" w:type="dxa"/>
          </w:tcPr>
          <w:p w:rsidR="00075D97" w:rsidRPr="00837111" w:rsidRDefault="00075D97" w:rsidP="00075D97">
            <w:pPr>
              <w:pStyle w:val="Default"/>
              <w:tabs>
                <w:tab w:val="left" w:pos="6012"/>
              </w:tabs>
              <w:jc w:val="both"/>
              <w:rPr>
                <w:sz w:val="22"/>
                <w:szCs w:val="22"/>
              </w:rPr>
            </w:pPr>
            <w:r w:rsidRPr="00837111">
              <w:rPr>
                <w:sz w:val="22"/>
                <w:szCs w:val="22"/>
              </w:rPr>
              <w:t xml:space="preserve">Titration of weak base with strong acids, </w:t>
            </w:r>
            <w:r w:rsidR="00E947BD" w:rsidRPr="00837111">
              <w:rPr>
                <w:sz w:val="22"/>
                <w:szCs w:val="22"/>
              </w:rPr>
              <w:t xml:space="preserve"> T</w:t>
            </w:r>
            <w:r w:rsidR="00DE00AD" w:rsidRPr="00837111">
              <w:rPr>
                <w:sz w:val="22"/>
                <w:szCs w:val="22"/>
              </w:rPr>
              <w:t xml:space="preserve">itration for </w:t>
            </w:r>
            <w:proofErr w:type="spellStart"/>
            <w:r w:rsidR="00DE00AD" w:rsidRPr="00837111">
              <w:rPr>
                <w:sz w:val="22"/>
                <w:szCs w:val="22"/>
              </w:rPr>
              <w:t>polyprotic</w:t>
            </w:r>
            <w:proofErr w:type="spellEnd"/>
            <w:r w:rsidR="00E947BD" w:rsidRPr="00837111">
              <w:rPr>
                <w:sz w:val="22"/>
                <w:szCs w:val="22"/>
              </w:rPr>
              <w:t xml:space="preserve"> acids, Titration of  phosphoric  acid, Titration of carbonic acid, Titration of boric acid, E</w:t>
            </w:r>
            <w:r w:rsidR="00DE00AD" w:rsidRPr="00837111">
              <w:rPr>
                <w:sz w:val="22"/>
                <w:szCs w:val="22"/>
              </w:rPr>
              <w:t>r</w:t>
            </w:r>
            <w:r w:rsidR="00E947BD" w:rsidRPr="00837111">
              <w:rPr>
                <w:sz w:val="22"/>
                <w:szCs w:val="22"/>
              </w:rPr>
              <w:t>rors of acid- base indicator,  C</w:t>
            </w:r>
            <w:r w:rsidR="00DE00AD" w:rsidRPr="00837111">
              <w:rPr>
                <w:sz w:val="22"/>
                <w:szCs w:val="22"/>
              </w:rPr>
              <w:t>alculations of errors.</w:t>
            </w:r>
          </w:p>
        </w:tc>
      </w:tr>
      <w:tr w:rsidR="00075D97" w:rsidRPr="00837111" w:rsidTr="002B5C53">
        <w:trPr>
          <w:trHeight w:val="275"/>
        </w:trPr>
        <w:tc>
          <w:tcPr>
            <w:tcW w:w="2718" w:type="dxa"/>
          </w:tcPr>
          <w:p w:rsidR="00075D97" w:rsidRPr="00837111" w:rsidRDefault="00075D97" w:rsidP="00075D97">
            <w:pPr>
              <w:rPr>
                <w:rFonts w:ascii="Calibri" w:hAnsi="Calibri"/>
                <w:b/>
                <w:i/>
              </w:rPr>
            </w:pPr>
            <w:r w:rsidRPr="00837111">
              <w:rPr>
                <w:rFonts w:ascii="Calibri" w:hAnsi="Calibri"/>
                <w:b/>
                <w:i/>
                <w:sz w:val="22"/>
                <w:szCs w:val="22"/>
              </w:rPr>
              <w:t>Eighth  week:</w:t>
            </w:r>
          </w:p>
        </w:tc>
        <w:tc>
          <w:tcPr>
            <w:tcW w:w="6210" w:type="dxa"/>
          </w:tcPr>
          <w:p w:rsidR="00075D97" w:rsidRPr="00837111" w:rsidRDefault="00DE00AD" w:rsidP="00075D97">
            <w:pPr>
              <w:pStyle w:val="Default"/>
              <w:tabs>
                <w:tab w:val="left" w:pos="6012"/>
              </w:tabs>
              <w:ind w:right="-90"/>
              <w:jc w:val="both"/>
              <w:rPr>
                <w:sz w:val="22"/>
                <w:szCs w:val="22"/>
              </w:rPr>
            </w:pPr>
            <w:r w:rsidRPr="00837111">
              <w:rPr>
                <w:b/>
                <w:sz w:val="22"/>
                <w:szCs w:val="22"/>
              </w:rPr>
              <w:t>The first assessment</w:t>
            </w:r>
          </w:p>
        </w:tc>
      </w:tr>
      <w:tr w:rsidR="00075D97" w:rsidRPr="00837111" w:rsidTr="002B5C53">
        <w:tc>
          <w:tcPr>
            <w:tcW w:w="2718" w:type="dxa"/>
          </w:tcPr>
          <w:p w:rsidR="00075D97" w:rsidRPr="00837111" w:rsidRDefault="00DE00AD" w:rsidP="00075D97">
            <w:pPr>
              <w:rPr>
                <w:rFonts w:ascii="Calibri" w:hAnsi="Calibri"/>
                <w:b/>
                <w:i/>
              </w:rPr>
            </w:pPr>
            <w:r w:rsidRPr="00837111">
              <w:rPr>
                <w:rFonts w:ascii="Calibri" w:hAnsi="Calibri"/>
                <w:b/>
                <w:i/>
                <w:sz w:val="22"/>
                <w:szCs w:val="22"/>
              </w:rPr>
              <w:t>Ninth  week:</w:t>
            </w:r>
          </w:p>
        </w:tc>
        <w:tc>
          <w:tcPr>
            <w:tcW w:w="6210" w:type="dxa"/>
          </w:tcPr>
          <w:p w:rsidR="00075D97" w:rsidRPr="00837111" w:rsidRDefault="00E947BD" w:rsidP="00075D97">
            <w:pPr>
              <w:pStyle w:val="Heading3"/>
              <w:shd w:val="clear" w:color="auto" w:fill="FFFFFF"/>
              <w:spacing w:before="0" w:beforeAutospacing="0" w:after="0" w:afterAutospacing="0"/>
              <w:jc w:val="both"/>
              <w:rPr>
                <w:b w:val="0"/>
                <w:bCs w:val="0"/>
                <w:color w:val="222222"/>
                <w:sz w:val="22"/>
                <w:szCs w:val="22"/>
              </w:rPr>
            </w:pPr>
            <w:r w:rsidRPr="00837111">
              <w:rPr>
                <w:b w:val="0"/>
                <w:sz w:val="22"/>
                <w:szCs w:val="22"/>
              </w:rPr>
              <w:t>Calculation error of hydrogen, C</w:t>
            </w:r>
            <w:r w:rsidR="00DE00AD" w:rsidRPr="00837111">
              <w:rPr>
                <w:b w:val="0"/>
                <w:sz w:val="22"/>
                <w:szCs w:val="22"/>
              </w:rPr>
              <w:t xml:space="preserve">alculation error of </w:t>
            </w:r>
            <w:r w:rsidRPr="00837111">
              <w:rPr>
                <w:b w:val="0"/>
                <w:sz w:val="22"/>
                <w:szCs w:val="22"/>
              </w:rPr>
              <w:t>hydroxide, Calculation error of acid, Calculation error of  base,  Precipitation reactions, Solubility product, F</w:t>
            </w:r>
            <w:r w:rsidR="00DE00AD" w:rsidRPr="00837111">
              <w:rPr>
                <w:b w:val="0"/>
                <w:sz w:val="22"/>
                <w:szCs w:val="22"/>
              </w:rPr>
              <w:t>ormation and dissolution of the precipitates.</w:t>
            </w:r>
          </w:p>
        </w:tc>
      </w:tr>
      <w:tr w:rsidR="00075D97" w:rsidRPr="00837111" w:rsidTr="002B5C53">
        <w:trPr>
          <w:trHeight w:val="347"/>
        </w:trPr>
        <w:tc>
          <w:tcPr>
            <w:tcW w:w="2718" w:type="dxa"/>
          </w:tcPr>
          <w:p w:rsidR="00075D97" w:rsidRPr="00837111" w:rsidRDefault="00DE00AD" w:rsidP="00075D97">
            <w:pPr>
              <w:rPr>
                <w:rFonts w:ascii="Calibri" w:hAnsi="Calibri"/>
                <w:b/>
                <w:i/>
              </w:rPr>
            </w:pPr>
            <w:r w:rsidRPr="00837111">
              <w:rPr>
                <w:rFonts w:ascii="Calibri" w:hAnsi="Calibri"/>
                <w:b/>
                <w:i/>
                <w:sz w:val="22"/>
                <w:szCs w:val="22"/>
              </w:rPr>
              <w:t>Tenth  week:</w:t>
            </w:r>
          </w:p>
        </w:tc>
        <w:tc>
          <w:tcPr>
            <w:tcW w:w="6210" w:type="dxa"/>
          </w:tcPr>
          <w:p w:rsidR="00075D97" w:rsidRPr="00837111" w:rsidRDefault="00DE00AD" w:rsidP="00DE00AD">
            <w:pPr>
              <w:jc w:val="both"/>
            </w:pPr>
            <w:r w:rsidRPr="00837111">
              <w:rPr>
                <w:sz w:val="22"/>
                <w:szCs w:val="22"/>
              </w:rPr>
              <w:t>Volumetric precipitation analysis,</w:t>
            </w:r>
            <w:r w:rsidR="007B7932" w:rsidRPr="00837111">
              <w:rPr>
                <w:bCs/>
                <w:sz w:val="22"/>
                <w:szCs w:val="22"/>
              </w:rPr>
              <w:t xml:space="preserve"> </w:t>
            </w:r>
            <w:proofErr w:type="spellStart"/>
            <w:r w:rsidR="00E947BD" w:rsidRPr="00837111">
              <w:rPr>
                <w:bCs/>
                <w:sz w:val="22"/>
                <w:szCs w:val="22"/>
              </w:rPr>
              <w:t>A</w:t>
            </w:r>
            <w:r w:rsidRPr="00837111">
              <w:rPr>
                <w:bCs/>
                <w:sz w:val="22"/>
                <w:szCs w:val="22"/>
              </w:rPr>
              <w:t>rgentometry</w:t>
            </w:r>
            <w:proofErr w:type="spellEnd"/>
            <w:r w:rsidRPr="00837111">
              <w:rPr>
                <w:bCs/>
                <w:sz w:val="22"/>
                <w:szCs w:val="22"/>
              </w:rPr>
              <w:t>,</w:t>
            </w:r>
            <w:r w:rsidR="00E947BD" w:rsidRPr="00837111">
              <w:rPr>
                <w:sz w:val="22"/>
                <w:szCs w:val="22"/>
              </w:rPr>
              <w:t xml:space="preserve"> D</w:t>
            </w:r>
            <w:r w:rsidRPr="00837111">
              <w:rPr>
                <w:sz w:val="22"/>
                <w:szCs w:val="22"/>
              </w:rPr>
              <w:t>etermination</w:t>
            </w:r>
            <w:r w:rsidR="00E947BD" w:rsidRPr="00837111">
              <w:rPr>
                <w:sz w:val="22"/>
                <w:szCs w:val="22"/>
              </w:rPr>
              <w:t xml:space="preserve"> of chloride by Mohr’s method, D</w:t>
            </w:r>
            <w:r w:rsidRPr="00837111">
              <w:rPr>
                <w:sz w:val="22"/>
                <w:szCs w:val="22"/>
              </w:rPr>
              <w:t>etermination of</w:t>
            </w:r>
            <w:r w:rsidR="00E947BD" w:rsidRPr="00837111">
              <w:rPr>
                <w:sz w:val="22"/>
                <w:szCs w:val="22"/>
              </w:rPr>
              <w:t xml:space="preserve"> chloride by </w:t>
            </w:r>
            <w:proofErr w:type="spellStart"/>
            <w:r w:rsidR="00E947BD" w:rsidRPr="00837111">
              <w:rPr>
                <w:sz w:val="22"/>
                <w:szCs w:val="22"/>
              </w:rPr>
              <w:t>Volhard’s</w:t>
            </w:r>
            <w:proofErr w:type="spellEnd"/>
            <w:r w:rsidR="00E947BD" w:rsidRPr="00837111">
              <w:rPr>
                <w:sz w:val="22"/>
                <w:szCs w:val="22"/>
              </w:rPr>
              <w:t xml:space="preserve"> method, Indicators of adsorption, C</w:t>
            </w:r>
            <w:r w:rsidRPr="00837111">
              <w:rPr>
                <w:sz w:val="22"/>
                <w:szCs w:val="22"/>
              </w:rPr>
              <w:t>urves titration in volu</w:t>
            </w:r>
            <w:r w:rsidR="00E947BD" w:rsidRPr="00837111">
              <w:rPr>
                <w:sz w:val="22"/>
                <w:szCs w:val="22"/>
              </w:rPr>
              <w:t>metric precipitation analysis, T</w:t>
            </w:r>
            <w:r w:rsidRPr="00837111">
              <w:rPr>
                <w:sz w:val="22"/>
                <w:szCs w:val="22"/>
              </w:rPr>
              <w:t>itration of halides.</w:t>
            </w:r>
          </w:p>
        </w:tc>
      </w:tr>
      <w:tr w:rsidR="00DE00AD" w:rsidRPr="00837111" w:rsidTr="002B5C53">
        <w:tc>
          <w:tcPr>
            <w:tcW w:w="2718" w:type="dxa"/>
          </w:tcPr>
          <w:p w:rsidR="00DE00AD" w:rsidRPr="00837111" w:rsidRDefault="00DE00AD" w:rsidP="00DE00AD">
            <w:pPr>
              <w:rPr>
                <w:rFonts w:ascii="Calibri" w:hAnsi="Calibri"/>
                <w:b/>
                <w:i/>
              </w:rPr>
            </w:pPr>
            <w:r w:rsidRPr="00837111">
              <w:rPr>
                <w:rFonts w:ascii="Calibri" w:hAnsi="Calibri"/>
                <w:b/>
                <w:i/>
                <w:sz w:val="22"/>
                <w:szCs w:val="22"/>
              </w:rPr>
              <w:t>Eleventh  week:</w:t>
            </w:r>
          </w:p>
        </w:tc>
        <w:tc>
          <w:tcPr>
            <w:tcW w:w="6210" w:type="dxa"/>
          </w:tcPr>
          <w:p w:rsidR="00DE00AD" w:rsidRPr="00837111" w:rsidRDefault="00B747EA" w:rsidP="00DE00AD">
            <w:pPr>
              <w:pStyle w:val="Heading3"/>
              <w:shd w:val="clear" w:color="auto" w:fill="FFFFFF"/>
              <w:spacing w:before="0" w:beforeAutospacing="0" w:after="0" w:afterAutospacing="0"/>
              <w:jc w:val="both"/>
              <w:rPr>
                <w:b w:val="0"/>
                <w:bCs w:val="0"/>
                <w:sz w:val="22"/>
                <w:szCs w:val="22"/>
              </w:rPr>
            </w:pPr>
            <w:hyperlink r:id="rId10" w:tgtFrame="_blank" w:history="1">
              <w:r w:rsidR="00E947BD" w:rsidRPr="00837111">
                <w:rPr>
                  <w:rStyle w:val="Hyperlink"/>
                  <w:b w:val="0"/>
                  <w:bCs w:val="0"/>
                  <w:color w:val="auto"/>
                  <w:sz w:val="22"/>
                  <w:szCs w:val="22"/>
                  <w:u w:val="none"/>
                </w:rPr>
                <w:t>T</w:t>
              </w:r>
              <w:r w:rsidR="00DE00AD" w:rsidRPr="00837111">
                <w:rPr>
                  <w:rStyle w:val="Hyperlink"/>
                  <w:b w:val="0"/>
                  <w:bCs w:val="0"/>
                  <w:color w:val="auto"/>
                  <w:sz w:val="22"/>
                  <w:szCs w:val="22"/>
                  <w:u w:val="none"/>
                </w:rPr>
                <w:t>itration of a halide mixture</w:t>
              </w:r>
            </w:hyperlink>
            <w:r w:rsidR="00E947BD" w:rsidRPr="00837111">
              <w:rPr>
                <w:b w:val="0"/>
                <w:bCs w:val="0"/>
                <w:sz w:val="22"/>
                <w:szCs w:val="22"/>
              </w:rPr>
              <w:t xml:space="preserve">, </w:t>
            </w:r>
            <w:proofErr w:type="gramStart"/>
            <w:r w:rsidR="00E947BD" w:rsidRPr="00837111">
              <w:rPr>
                <w:b w:val="0"/>
                <w:bCs w:val="0"/>
                <w:sz w:val="22"/>
                <w:szCs w:val="22"/>
              </w:rPr>
              <w:t>O</w:t>
            </w:r>
            <w:r w:rsidR="00DE00AD" w:rsidRPr="00837111">
              <w:rPr>
                <w:b w:val="0"/>
                <w:bCs w:val="0"/>
                <w:sz w:val="22"/>
                <w:szCs w:val="22"/>
              </w:rPr>
              <w:t>ther</w:t>
            </w:r>
            <w:proofErr w:type="gramEnd"/>
            <w:r w:rsidR="00DE00AD" w:rsidRPr="00837111">
              <w:rPr>
                <w:b w:val="0"/>
                <w:bCs w:val="0"/>
                <w:sz w:val="22"/>
                <w:szCs w:val="22"/>
              </w:rPr>
              <w:t xml:space="preserve"> methods of volumetric precipitation analysis, </w:t>
            </w:r>
            <w:proofErr w:type="spellStart"/>
            <w:r w:rsidR="00E947BD" w:rsidRPr="00837111">
              <w:rPr>
                <w:b w:val="0"/>
                <w:sz w:val="22"/>
                <w:szCs w:val="22"/>
              </w:rPr>
              <w:t>C</w:t>
            </w:r>
            <w:r w:rsidR="00DE00AD" w:rsidRPr="00837111">
              <w:rPr>
                <w:b w:val="0"/>
                <w:sz w:val="22"/>
                <w:szCs w:val="22"/>
              </w:rPr>
              <w:t>omplexation</w:t>
            </w:r>
            <w:proofErr w:type="spellEnd"/>
            <w:r w:rsidR="00E947BD" w:rsidRPr="00837111">
              <w:rPr>
                <w:b w:val="0"/>
                <w:sz w:val="22"/>
                <w:szCs w:val="22"/>
              </w:rPr>
              <w:t xml:space="preserve"> reactions, Equilibrium constants, The formation of complexes, Types of complexes, S</w:t>
            </w:r>
            <w:r w:rsidR="00DE00AD" w:rsidRPr="00837111">
              <w:rPr>
                <w:b w:val="0"/>
                <w:sz w:val="22"/>
                <w:szCs w:val="22"/>
              </w:rPr>
              <w:t>imple complexes.</w:t>
            </w:r>
          </w:p>
        </w:tc>
      </w:tr>
      <w:tr w:rsidR="00DE00AD" w:rsidRPr="00837111" w:rsidTr="002B5C53">
        <w:tc>
          <w:tcPr>
            <w:tcW w:w="2718" w:type="dxa"/>
          </w:tcPr>
          <w:p w:rsidR="00DE00AD" w:rsidRPr="00837111" w:rsidRDefault="00DE00AD" w:rsidP="00DE00AD">
            <w:pPr>
              <w:rPr>
                <w:rFonts w:ascii="Calibri" w:hAnsi="Calibri"/>
                <w:b/>
                <w:i/>
              </w:rPr>
            </w:pPr>
            <w:r w:rsidRPr="00837111">
              <w:rPr>
                <w:rFonts w:ascii="Calibri" w:hAnsi="Calibri"/>
                <w:b/>
                <w:i/>
                <w:sz w:val="22"/>
                <w:szCs w:val="22"/>
              </w:rPr>
              <w:t>Twelfth  week:</w:t>
            </w:r>
          </w:p>
        </w:tc>
        <w:tc>
          <w:tcPr>
            <w:tcW w:w="6210" w:type="dxa"/>
          </w:tcPr>
          <w:p w:rsidR="00DE00AD" w:rsidRPr="00837111" w:rsidRDefault="00AC0930" w:rsidP="00DE00AD">
            <w:pPr>
              <w:jc w:val="both"/>
            </w:pPr>
            <w:r w:rsidRPr="00837111">
              <w:rPr>
                <w:bCs/>
                <w:sz w:val="22"/>
                <w:szCs w:val="22"/>
              </w:rPr>
              <w:t xml:space="preserve">Chelate complexes, </w:t>
            </w:r>
            <w:hyperlink r:id="rId11" w:tgtFrame="_blank" w:history="1">
              <w:proofErr w:type="spellStart"/>
              <w:r w:rsidR="00E947BD" w:rsidRPr="00837111">
                <w:rPr>
                  <w:rStyle w:val="Hyperlink"/>
                  <w:bCs/>
                  <w:color w:val="auto"/>
                  <w:sz w:val="22"/>
                  <w:szCs w:val="22"/>
                  <w:u w:val="none"/>
                </w:rPr>
                <w:t>C</w:t>
              </w:r>
              <w:r w:rsidRPr="00837111">
                <w:rPr>
                  <w:rStyle w:val="Hyperlink"/>
                  <w:bCs/>
                  <w:color w:val="auto"/>
                  <w:sz w:val="22"/>
                  <w:szCs w:val="22"/>
                  <w:u w:val="none"/>
                </w:rPr>
                <w:t>omplexometria</w:t>
              </w:r>
              <w:proofErr w:type="spellEnd"/>
            </w:hyperlink>
            <w:r w:rsidR="00E947BD" w:rsidRPr="00837111">
              <w:rPr>
                <w:bCs/>
                <w:sz w:val="22"/>
                <w:szCs w:val="22"/>
              </w:rPr>
              <w:t>, T</w:t>
            </w:r>
            <w:r w:rsidRPr="00837111">
              <w:rPr>
                <w:bCs/>
                <w:sz w:val="22"/>
                <w:szCs w:val="22"/>
              </w:rPr>
              <w:t>itration of cyanide with AgNO</w:t>
            </w:r>
            <w:r w:rsidRPr="00837111">
              <w:rPr>
                <w:bCs/>
                <w:sz w:val="22"/>
                <w:szCs w:val="22"/>
                <w:vertAlign w:val="subscript"/>
              </w:rPr>
              <w:t>3</w:t>
            </w:r>
            <w:r w:rsidRPr="00837111">
              <w:rPr>
                <w:bCs/>
                <w:sz w:val="22"/>
                <w:szCs w:val="22"/>
              </w:rPr>
              <w:t xml:space="preserve">, </w:t>
            </w:r>
            <w:r w:rsidR="00E947BD" w:rsidRPr="00837111">
              <w:rPr>
                <w:sz w:val="22"/>
                <w:szCs w:val="22"/>
              </w:rPr>
              <w:t>S</w:t>
            </w:r>
            <w:r w:rsidRPr="00837111">
              <w:rPr>
                <w:sz w:val="22"/>
                <w:szCs w:val="22"/>
              </w:rPr>
              <w:t xml:space="preserve">pecies </w:t>
            </w:r>
            <w:r w:rsidR="00E947BD" w:rsidRPr="00837111">
              <w:rPr>
                <w:sz w:val="22"/>
                <w:szCs w:val="22"/>
              </w:rPr>
              <w:t>present in a solution of EDTA, I</w:t>
            </w:r>
            <w:r w:rsidRPr="00837111">
              <w:rPr>
                <w:sz w:val="22"/>
                <w:szCs w:val="22"/>
              </w:rPr>
              <w:t>nfluence of pH on the stability of the M-EDTA</w:t>
            </w:r>
          </w:p>
        </w:tc>
      </w:tr>
      <w:tr w:rsidR="00DE00AD" w:rsidRPr="00837111" w:rsidTr="002B5C53">
        <w:tc>
          <w:tcPr>
            <w:tcW w:w="2718" w:type="dxa"/>
          </w:tcPr>
          <w:p w:rsidR="00DE00AD" w:rsidRPr="00837111" w:rsidRDefault="00AC0930" w:rsidP="00DE00AD">
            <w:pPr>
              <w:rPr>
                <w:rFonts w:ascii="Calibri" w:hAnsi="Calibri"/>
                <w:b/>
                <w:i/>
              </w:rPr>
            </w:pPr>
            <w:r w:rsidRPr="00837111">
              <w:rPr>
                <w:rFonts w:ascii="Calibri" w:hAnsi="Calibri"/>
                <w:b/>
                <w:i/>
                <w:sz w:val="22"/>
                <w:szCs w:val="22"/>
              </w:rPr>
              <w:t>Thirteenth  week:</w:t>
            </w:r>
          </w:p>
        </w:tc>
        <w:tc>
          <w:tcPr>
            <w:tcW w:w="6210" w:type="dxa"/>
          </w:tcPr>
          <w:p w:rsidR="00DE00AD" w:rsidRPr="00837111" w:rsidRDefault="00AC0930" w:rsidP="00AC0930">
            <w:pPr>
              <w:pStyle w:val="Heading3"/>
              <w:shd w:val="clear" w:color="auto" w:fill="FFFFFF"/>
              <w:spacing w:before="0" w:beforeAutospacing="0" w:after="0" w:afterAutospacing="0"/>
              <w:jc w:val="both"/>
              <w:rPr>
                <w:b w:val="0"/>
                <w:bCs w:val="0"/>
                <w:color w:val="222222"/>
                <w:sz w:val="22"/>
                <w:szCs w:val="22"/>
              </w:rPr>
            </w:pPr>
            <w:r w:rsidRPr="00837111">
              <w:rPr>
                <w:b w:val="0"/>
                <w:sz w:val="22"/>
                <w:szCs w:val="22"/>
              </w:rPr>
              <w:t>The impact of other factors o</w:t>
            </w:r>
            <w:r w:rsidR="00E947BD" w:rsidRPr="00837111">
              <w:rPr>
                <w:b w:val="0"/>
                <w:sz w:val="22"/>
                <w:szCs w:val="22"/>
              </w:rPr>
              <w:t>n the stability of the M-EDTA, T</w:t>
            </w:r>
            <w:r w:rsidRPr="00837111">
              <w:rPr>
                <w:b w:val="0"/>
                <w:sz w:val="22"/>
                <w:szCs w:val="22"/>
              </w:rPr>
              <w:t xml:space="preserve">itration curves when </w:t>
            </w:r>
            <w:r w:rsidR="00E947BD" w:rsidRPr="00837111">
              <w:rPr>
                <w:b w:val="0"/>
                <w:sz w:val="22"/>
                <w:szCs w:val="22"/>
              </w:rPr>
              <w:t xml:space="preserve">a </w:t>
            </w:r>
            <w:proofErr w:type="spellStart"/>
            <w:r w:rsidR="00E947BD" w:rsidRPr="00837111">
              <w:rPr>
                <w:b w:val="0"/>
                <w:sz w:val="22"/>
                <w:szCs w:val="22"/>
              </w:rPr>
              <w:t>complexing</w:t>
            </w:r>
            <w:proofErr w:type="spellEnd"/>
            <w:r w:rsidR="00E947BD" w:rsidRPr="00837111">
              <w:rPr>
                <w:b w:val="0"/>
                <w:sz w:val="22"/>
                <w:szCs w:val="22"/>
              </w:rPr>
              <w:t xml:space="preserve"> agent is present, </w:t>
            </w:r>
            <w:proofErr w:type="gramStart"/>
            <w:r w:rsidR="00E947BD" w:rsidRPr="00837111">
              <w:rPr>
                <w:b w:val="0"/>
                <w:sz w:val="22"/>
                <w:szCs w:val="22"/>
              </w:rPr>
              <w:t>Metal</w:t>
            </w:r>
            <w:proofErr w:type="gramEnd"/>
            <w:r w:rsidR="00E947BD" w:rsidRPr="00837111">
              <w:rPr>
                <w:b w:val="0"/>
                <w:sz w:val="22"/>
                <w:szCs w:val="22"/>
              </w:rPr>
              <w:t xml:space="preserve"> indicators, Oxidation-reduction reactions, E</w:t>
            </w:r>
            <w:r w:rsidRPr="00837111">
              <w:rPr>
                <w:b w:val="0"/>
                <w:sz w:val="22"/>
                <w:szCs w:val="22"/>
              </w:rPr>
              <w:t>quilibrium constants.</w:t>
            </w:r>
          </w:p>
        </w:tc>
      </w:tr>
      <w:tr w:rsidR="00DE00AD" w:rsidRPr="00837111" w:rsidTr="002B5C53">
        <w:tc>
          <w:tcPr>
            <w:tcW w:w="2718" w:type="dxa"/>
          </w:tcPr>
          <w:p w:rsidR="00DE00AD" w:rsidRPr="00837111" w:rsidRDefault="00AC0930" w:rsidP="00DE00AD">
            <w:pPr>
              <w:rPr>
                <w:rFonts w:ascii="Calibri" w:hAnsi="Calibri"/>
                <w:b/>
                <w:i/>
              </w:rPr>
            </w:pPr>
            <w:r w:rsidRPr="00837111">
              <w:rPr>
                <w:rFonts w:ascii="Calibri" w:hAnsi="Calibri"/>
                <w:b/>
                <w:i/>
                <w:sz w:val="22"/>
                <w:szCs w:val="22"/>
              </w:rPr>
              <w:t>Fourteenth  week:</w:t>
            </w:r>
          </w:p>
        </w:tc>
        <w:tc>
          <w:tcPr>
            <w:tcW w:w="6210" w:type="dxa"/>
          </w:tcPr>
          <w:p w:rsidR="00AC0930" w:rsidRPr="00837111" w:rsidRDefault="00AC0930" w:rsidP="00AC0930">
            <w:pPr>
              <w:pStyle w:val="Heading3"/>
              <w:shd w:val="clear" w:color="auto" w:fill="FFFFFF"/>
              <w:spacing w:before="0" w:beforeAutospacing="0" w:after="0" w:afterAutospacing="0"/>
              <w:jc w:val="both"/>
              <w:rPr>
                <w:b w:val="0"/>
                <w:bCs w:val="0"/>
                <w:color w:val="222222"/>
                <w:sz w:val="22"/>
                <w:szCs w:val="22"/>
              </w:rPr>
            </w:pPr>
            <w:r w:rsidRPr="00837111">
              <w:rPr>
                <w:b w:val="0"/>
                <w:sz w:val="22"/>
                <w:szCs w:val="22"/>
              </w:rPr>
              <w:t xml:space="preserve">The influence of pH of redox reactions, </w:t>
            </w:r>
            <w:hyperlink r:id="rId12" w:tgtFrame="_blank" w:history="1">
              <w:proofErr w:type="spellStart"/>
              <w:r w:rsidR="00E947BD" w:rsidRPr="00837111">
                <w:rPr>
                  <w:rStyle w:val="Hyperlink"/>
                  <w:b w:val="0"/>
                  <w:bCs w:val="0"/>
                  <w:color w:val="auto"/>
                  <w:sz w:val="22"/>
                  <w:szCs w:val="22"/>
                  <w:u w:val="none"/>
                </w:rPr>
                <w:t>P</w:t>
              </w:r>
              <w:r w:rsidRPr="00837111">
                <w:rPr>
                  <w:rStyle w:val="Hyperlink"/>
                  <w:b w:val="0"/>
                  <w:bCs w:val="0"/>
                  <w:color w:val="auto"/>
                  <w:sz w:val="22"/>
                  <w:szCs w:val="22"/>
                  <w:u w:val="none"/>
                </w:rPr>
                <w:t>ermanganometry</w:t>
              </w:r>
              <w:proofErr w:type="spellEnd"/>
            </w:hyperlink>
          </w:p>
          <w:p w:rsidR="00DE00AD" w:rsidRPr="00837111" w:rsidRDefault="00AC0930" w:rsidP="00AC0930">
            <w:pPr>
              <w:autoSpaceDE w:val="0"/>
              <w:autoSpaceDN w:val="0"/>
              <w:adjustRightInd w:val="0"/>
              <w:jc w:val="both"/>
            </w:pPr>
            <w:proofErr w:type="gramStart"/>
            <w:r w:rsidRPr="00837111">
              <w:rPr>
                <w:sz w:val="22"/>
                <w:szCs w:val="22"/>
              </w:rPr>
              <w:t>method</w:t>
            </w:r>
            <w:proofErr w:type="gramEnd"/>
            <w:r w:rsidRPr="00837111">
              <w:rPr>
                <w:sz w:val="22"/>
                <w:szCs w:val="22"/>
              </w:rPr>
              <w:t>,</w:t>
            </w:r>
            <w:r w:rsidR="002D3FBA" w:rsidRPr="00837111">
              <w:rPr>
                <w:sz w:val="22"/>
                <w:szCs w:val="22"/>
              </w:rPr>
              <w:t xml:space="preserve"> </w:t>
            </w:r>
            <w:proofErr w:type="spellStart"/>
            <w:r w:rsidR="00E947BD" w:rsidRPr="00837111">
              <w:rPr>
                <w:sz w:val="22"/>
                <w:szCs w:val="22"/>
              </w:rPr>
              <w:t>Bromatometry</w:t>
            </w:r>
            <w:proofErr w:type="spellEnd"/>
            <w:r w:rsidR="00E947BD" w:rsidRPr="00837111">
              <w:rPr>
                <w:sz w:val="22"/>
                <w:szCs w:val="22"/>
              </w:rPr>
              <w:t xml:space="preserve"> method, </w:t>
            </w:r>
            <w:proofErr w:type="spellStart"/>
            <w:r w:rsidR="00E947BD" w:rsidRPr="00837111">
              <w:rPr>
                <w:sz w:val="22"/>
                <w:szCs w:val="22"/>
              </w:rPr>
              <w:t>Jodometry</w:t>
            </w:r>
            <w:proofErr w:type="spellEnd"/>
            <w:r w:rsidR="00E947BD" w:rsidRPr="00837111">
              <w:rPr>
                <w:sz w:val="22"/>
                <w:szCs w:val="22"/>
              </w:rPr>
              <w:t xml:space="preserve"> method,  C</w:t>
            </w:r>
            <w:r w:rsidRPr="00837111">
              <w:rPr>
                <w:sz w:val="22"/>
                <w:szCs w:val="22"/>
              </w:rPr>
              <w:t>onstr</w:t>
            </w:r>
            <w:r w:rsidR="00E947BD" w:rsidRPr="00837111">
              <w:rPr>
                <w:sz w:val="22"/>
                <w:szCs w:val="22"/>
              </w:rPr>
              <w:t>ucting redox titration curves, O</w:t>
            </w:r>
            <w:r w:rsidRPr="00837111">
              <w:rPr>
                <w:sz w:val="22"/>
                <w:szCs w:val="22"/>
              </w:rPr>
              <w:t>xidation-reduction indicators.</w:t>
            </w:r>
          </w:p>
        </w:tc>
      </w:tr>
      <w:tr w:rsidR="00DE00AD" w:rsidRPr="00837111" w:rsidTr="002B5C53">
        <w:tc>
          <w:tcPr>
            <w:tcW w:w="2718" w:type="dxa"/>
          </w:tcPr>
          <w:p w:rsidR="00DE00AD" w:rsidRPr="00837111" w:rsidRDefault="00AC0930" w:rsidP="00DE00AD">
            <w:pPr>
              <w:rPr>
                <w:rFonts w:ascii="Calibri" w:hAnsi="Calibri"/>
                <w:b/>
                <w:i/>
              </w:rPr>
            </w:pPr>
            <w:r w:rsidRPr="00837111">
              <w:rPr>
                <w:rFonts w:ascii="Calibri" w:hAnsi="Calibri"/>
                <w:b/>
                <w:i/>
                <w:sz w:val="22"/>
                <w:szCs w:val="22"/>
              </w:rPr>
              <w:t>Fifteenth  week:</w:t>
            </w:r>
          </w:p>
        </w:tc>
        <w:tc>
          <w:tcPr>
            <w:tcW w:w="6210" w:type="dxa"/>
          </w:tcPr>
          <w:p w:rsidR="00DE00AD" w:rsidRPr="00837111" w:rsidRDefault="00AC0930" w:rsidP="00DE00AD">
            <w:pPr>
              <w:jc w:val="both"/>
            </w:pPr>
            <w:r w:rsidRPr="00837111">
              <w:rPr>
                <w:b/>
                <w:sz w:val="22"/>
                <w:szCs w:val="22"/>
              </w:rPr>
              <w:t>The second assessment</w:t>
            </w:r>
          </w:p>
        </w:tc>
      </w:tr>
      <w:tr w:rsidR="00837111" w:rsidRPr="00837111" w:rsidTr="00D04F2F">
        <w:tc>
          <w:tcPr>
            <w:tcW w:w="8928" w:type="dxa"/>
            <w:gridSpan w:val="2"/>
            <w:shd w:val="clear" w:color="auto" w:fill="C6D9F1" w:themeFill="text2" w:themeFillTint="33"/>
          </w:tcPr>
          <w:p w:rsidR="00837111" w:rsidRPr="00541D08" w:rsidRDefault="00837111" w:rsidP="00837111">
            <w:pPr>
              <w:pStyle w:val="Default"/>
              <w:tabs>
                <w:tab w:val="left" w:pos="6012"/>
              </w:tabs>
              <w:ind w:left="40" w:right="-90"/>
              <w:jc w:val="both"/>
              <w:rPr>
                <w:rFonts w:asciiTheme="minorHAnsi" w:hAnsiTheme="minorHAnsi" w:cstheme="minorHAnsi"/>
                <w:b/>
                <w:sz w:val="22"/>
                <w:szCs w:val="22"/>
              </w:rPr>
            </w:pPr>
            <w:r w:rsidRPr="00541D08">
              <w:rPr>
                <w:rFonts w:asciiTheme="minorHAnsi" w:hAnsiTheme="minorHAnsi" w:cstheme="minorHAnsi"/>
                <w:b/>
                <w:sz w:val="22"/>
                <w:szCs w:val="22"/>
              </w:rPr>
              <w:t xml:space="preserve">Designed study plan – Lab exercise:  </w:t>
            </w:r>
          </w:p>
        </w:tc>
      </w:tr>
      <w:tr w:rsidR="00837111" w:rsidRPr="00837111" w:rsidTr="00D04F2F">
        <w:tc>
          <w:tcPr>
            <w:tcW w:w="8928" w:type="dxa"/>
            <w:gridSpan w:val="2"/>
            <w:shd w:val="clear" w:color="auto" w:fill="C6D9F1" w:themeFill="text2" w:themeFillTint="33"/>
          </w:tcPr>
          <w:p w:rsidR="00837111" w:rsidRPr="00541D08" w:rsidRDefault="00837111" w:rsidP="00837111">
            <w:pPr>
              <w:pStyle w:val="Default"/>
              <w:tabs>
                <w:tab w:val="left" w:pos="6012"/>
              </w:tabs>
              <w:ind w:left="40" w:right="-90"/>
              <w:jc w:val="center"/>
              <w:rPr>
                <w:rFonts w:asciiTheme="minorHAnsi" w:hAnsiTheme="minorHAnsi" w:cstheme="minorHAnsi"/>
                <w:b/>
                <w:sz w:val="22"/>
                <w:szCs w:val="22"/>
              </w:rPr>
            </w:pPr>
            <w:r w:rsidRPr="00541D08">
              <w:rPr>
                <w:rFonts w:asciiTheme="minorHAnsi" w:hAnsiTheme="minorHAnsi" w:cstheme="minorHAnsi"/>
                <w:b/>
                <w:sz w:val="22"/>
                <w:szCs w:val="22"/>
              </w:rPr>
              <w:t>Lab exercises  which will be held</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 xml:space="preserve">Preparation of standard solution of </w:t>
            </w:r>
            <w:proofErr w:type="spellStart"/>
            <w:r w:rsidRPr="00837111">
              <w:rPr>
                <w:sz w:val="22"/>
                <w:szCs w:val="22"/>
              </w:rPr>
              <w:t>HCl</w:t>
            </w:r>
            <w:proofErr w:type="spellEnd"/>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 xml:space="preserve">Standardization of solution </w:t>
            </w:r>
            <w:proofErr w:type="spellStart"/>
            <w:r w:rsidRPr="00837111">
              <w:rPr>
                <w:sz w:val="22"/>
                <w:szCs w:val="22"/>
              </w:rPr>
              <w:t>HCl</w:t>
            </w:r>
            <w:proofErr w:type="spellEnd"/>
            <w:r w:rsidRPr="00837111">
              <w:rPr>
                <w:sz w:val="22"/>
                <w:szCs w:val="22"/>
              </w:rPr>
              <w:t xml:space="preserve"> with Na</w:t>
            </w:r>
            <w:r w:rsidRPr="00837111">
              <w:rPr>
                <w:sz w:val="22"/>
                <w:szCs w:val="22"/>
                <w:vertAlign w:val="subscript"/>
              </w:rPr>
              <w:t>2</w:t>
            </w:r>
            <w:r w:rsidRPr="00837111">
              <w:rPr>
                <w:sz w:val="22"/>
                <w:szCs w:val="22"/>
              </w:rPr>
              <w:t>CO</w:t>
            </w:r>
            <w:r w:rsidRPr="00837111">
              <w:rPr>
                <w:sz w:val="22"/>
                <w:szCs w:val="22"/>
                <w:vertAlign w:val="subscript"/>
              </w:rPr>
              <w:t>3</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 xml:space="preserve">Preparation of solution standard </w:t>
            </w:r>
            <w:proofErr w:type="spellStart"/>
            <w:r w:rsidRPr="00837111">
              <w:rPr>
                <w:sz w:val="22"/>
                <w:szCs w:val="22"/>
              </w:rPr>
              <w:t>NaOH</w:t>
            </w:r>
            <w:proofErr w:type="spellEnd"/>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 xml:space="preserve">Standardization of solution </w:t>
            </w:r>
            <w:proofErr w:type="spellStart"/>
            <w:r w:rsidRPr="00837111">
              <w:rPr>
                <w:sz w:val="22"/>
                <w:szCs w:val="22"/>
              </w:rPr>
              <w:t>NaOH</w:t>
            </w:r>
            <w:proofErr w:type="spellEnd"/>
            <w:r w:rsidRPr="00837111">
              <w:rPr>
                <w:sz w:val="22"/>
                <w:szCs w:val="22"/>
              </w:rPr>
              <w:t xml:space="preserve"> with </w:t>
            </w:r>
            <w:proofErr w:type="spellStart"/>
            <w:r w:rsidRPr="00837111">
              <w:rPr>
                <w:sz w:val="22"/>
                <w:szCs w:val="22"/>
              </w:rPr>
              <w:t>HCl</w:t>
            </w:r>
            <w:proofErr w:type="spellEnd"/>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Titration of H</w:t>
            </w:r>
            <w:r w:rsidRPr="00837111">
              <w:rPr>
                <w:sz w:val="22"/>
                <w:szCs w:val="22"/>
                <w:vertAlign w:val="subscript"/>
              </w:rPr>
              <w:t>2</w:t>
            </w:r>
            <w:r w:rsidRPr="00837111">
              <w:rPr>
                <w:sz w:val="22"/>
                <w:szCs w:val="22"/>
              </w:rPr>
              <w:t>SO</w:t>
            </w:r>
            <w:r w:rsidRPr="00837111">
              <w:rPr>
                <w:sz w:val="22"/>
                <w:szCs w:val="22"/>
                <w:vertAlign w:val="subscript"/>
              </w:rPr>
              <w:t>4</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Titration of H</w:t>
            </w:r>
            <w:r w:rsidRPr="00837111">
              <w:rPr>
                <w:sz w:val="22"/>
                <w:szCs w:val="22"/>
                <w:vertAlign w:val="subscript"/>
              </w:rPr>
              <w:t>3</w:t>
            </w:r>
            <w:r w:rsidRPr="00837111">
              <w:rPr>
                <w:sz w:val="22"/>
                <w:szCs w:val="22"/>
              </w:rPr>
              <w:t>PO</w:t>
            </w:r>
            <w:r w:rsidRPr="00837111">
              <w:rPr>
                <w:sz w:val="22"/>
                <w:szCs w:val="22"/>
                <w:vertAlign w:val="subscript"/>
              </w:rPr>
              <w:t>4</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Titration of H</w:t>
            </w:r>
            <w:r w:rsidRPr="00837111">
              <w:rPr>
                <w:sz w:val="22"/>
                <w:szCs w:val="22"/>
                <w:vertAlign w:val="subscript"/>
              </w:rPr>
              <w:t>3</w:t>
            </w:r>
            <w:r w:rsidRPr="00837111">
              <w:rPr>
                <w:sz w:val="22"/>
                <w:szCs w:val="22"/>
              </w:rPr>
              <w:t>BO</w:t>
            </w:r>
            <w:r w:rsidRPr="00837111">
              <w:rPr>
                <w:sz w:val="22"/>
                <w:szCs w:val="22"/>
                <w:vertAlign w:val="subscript"/>
              </w:rPr>
              <w:t>3</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Preparation of standard solution of AgNO</w:t>
            </w:r>
            <w:r w:rsidRPr="00837111">
              <w:rPr>
                <w:sz w:val="22"/>
                <w:szCs w:val="22"/>
                <w:vertAlign w:val="subscript"/>
              </w:rPr>
              <w:t>3</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 xml:space="preserve">Preparation of </w:t>
            </w:r>
            <w:proofErr w:type="spellStart"/>
            <w:r w:rsidRPr="00837111">
              <w:rPr>
                <w:sz w:val="22"/>
                <w:szCs w:val="22"/>
              </w:rPr>
              <w:t>NaCl</w:t>
            </w:r>
            <w:proofErr w:type="spellEnd"/>
            <w:r w:rsidRPr="00837111">
              <w:rPr>
                <w:sz w:val="22"/>
                <w:szCs w:val="22"/>
              </w:rPr>
              <w:t xml:space="preserve"> standard solution</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Standardization of solution AgNO</w:t>
            </w:r>
            <w:r w:rsidRPr="00837111">
              <w:rPr>
                <w:sz w:val="22"/>
                <w:szCs w:val="22"/>
                <w:vertAlign w:val="subscript"/>
              </w:rPr>
              <w:t>3</w:t>
            </w:r>
            <w:r w:rsidRPr="00837111">
              <w:rPr>
                <w:sz w:val="22"/>
                <w:szCs w:val="22"/>
              </w:rPr>
              <w:t xml:space="preserve"> with </w:t>
            </w:r>
            <w:proofErr w:type="spellStart"/>
            <w:r w:rsidRPr="00837111">
              <w:rPr>
                <w:sz w:val="22"/>
                <w:szCs w:val="22"/>
              </w:rPr>
              <w:t>NaCl</w:t>
            </w:r>
            <w:proofErr w:type="spellEnd"/>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Determination of chloride by Mohr method</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 xml:space="preserve">Determination of iodide by </w:t>
            </w:r>
            <w:proofErr w:type="spellStart"/>
            <w:r w:rsidRPr="00837111">
              <w:rPr>
                <w:sz w:val="22"/>
                <w:szCs w:val="22"/>
              </w:rPr>
              <w:t>Fajans</w:t>
            </w:r>
            <w:proofErr w:type="spellEnd"/>
            <w:r w:rsidRPr="00837111">
              <w:rPr>
                <w:sz w:val="22"/>
                <w:szCs w:val="22"/>
              </w:rPr>
              <w:t xml:space="preserve"> method</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Preparation of standard solution of  EDTA</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Preparation of standard solution of  Zn</w:t>
            </w:r>
            <w:r w:rsidRPr="00837111">
              <w:rPr>
                <w:sz w:val="22"/>
                <w:szCs w:val="22"/>
                <w:vertAlign w:val="superscript"/>
              </w:rPr>
              <w:t>2+</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Standardization of solution EDTA with Zn</w:t>
            </w:r>
            <w:r w:rsidRPr="00837111">
              <w:rPr>
                <w:sz w:val="22"/>
                <w:szCs w:val="22"/>
                <w:vertAlign w:val="superscript"/>
              </w:rPr>
              <w:t>2+</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color w:val="222222"/>
                <w:sz w:val="22"/>
                <w:szCs w:val="22"/>
              </w:rPr>
              <w:t>Titration of Ni</w:t>
            </w:r>
            <w:r w:rsidRPr="00837111">
              <w:rPr>
                <w:color w:val="222222"/>
                <w:sz w:val="22"/>
                <w:szCs w:val="22"/>
                <w:vertAlign w:val="superscript"/>
              </w:rPr>
              <w:t>2+</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color w:val="222222"/>
                <w:sz w:val="22"/>
                <w:szCs w:val="22"/>
              </w:rPr>
              <w:t>Titration of mixture Ca</w:t>
            </w:r>
            <w:r w:rsidRPr="00837111">
              <w:rPr>
                <w:color w:val="222222"/>
                <w:sz w:val="22"/>
                <w:szCs w:val="22"/>
                <w:vertAlign w:val="superscript"/>
              </w:rPr>
              <w:t>2+</w:t>
            </w:r>
            <w:r w:rsidRPr="00837111">
              <w:rPr>
                <w:color w:val="222222"/>
                <w:sz w:val="22"/>
                <w:szCs w:val="22"/>
              </w:rPr>
              <w:t>+ Mg</w:t>
            </w:r>
            <w:r w:rsidRPr="00837111">
              <w:rPr>
                <w:color w:val="222222"/>
                <w:sz w:val="22"/>
                <w:szCs w:val="22"/>
                <w:vertAlign w:val="superscript"/>
              </w:rPr>
              <w:t>2+</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lastRenderedPageBreak/>
              <w:t>Preparation of standard solution of KBrO</w:t>
            </w:r>
            <w:r w:rsidRPr="00837111">
              <w:rPr>
                <w:sz w:val="22"/>
                <w:szCs w:val="22"/>
                <w:vertAlign w:val="subscript"/>
              </w:rPr>
              <w:t>3</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sz w:val="22"/>
                <w:szCs w:val="22"/>
              </w:rPr>
              <w:t>Preparation of standard solution of  Na</w:t>
            </w:r>
            <w:r w:rsidRPr="00837111">
              <w:rPr>
                <w:sz w:val="22"/>
                <w:szCs w:val="22"/>
                <w:vertAlign w:val="subscript"/>
              </w:rPr>
              <w:t>2</w:t>
            </w:r>
            <w:r w:rsidRPr="00837111">
              <w:rPr>
                <w:sz w:val="22"/>
                <w:szCs w:val="22"/>
              </w:rPr>
              <w:t>S</w:t>
            </w:r>
            <w:r w:rsidRPr="00837111">
              <w:rPr>
                <w:sz w:val="22"/>
                <w:szCs w:val="22"/>
                <w:vertAlign w:val="subscript"/>
              </w:rPr>
              <w:t>2</w:t>
            </w:r>
            <w:r w:rsidRPr="00837111">
              <w:rPr>
                <w:sz w:val="22"/>
                <w:szCs w:val="22"/>
              </w:rPr>
              <w:t>O</w:t>
            </w:r>
            <w:r w:rsidRPr="00837111">
              <w:rPr>
                <w:sz w:val="22"/>
                <w:szCs w:val="22"/>
                <w:vertAlign w:val="subscript"/>
              </w:rPr>
              <w:t>3</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sz w:val="22"/>
                <w:szCs w:val="22"/>
              </w:rPr>
            </w:pPr>
            <w:r w:rsidRPr="00837111">
              <w:rPr>
                <w:sz w:val="22"/>
                <w:szCs w:val="22"/>
              </w:rPr>
              <w:t>Standardization of solution Na</w:t>
            </w:r>
            <w:r w:rsidRPr="00837111">
              <w:rPr>
                <w:sz w:val="22"/>
                <w:szCs w:val="22"/>
                <w:vertAlign w:val="subscript"/>
              </w:rPr>
              <w:t>2</w:t>
            </w:r>
            <w:r w:rsidRPr="00837111">
              <w:rPr>
                <w:sz w:val="22"/>
                <w:szCs w:val="22"/>
              </w:rPr>
              <w:t>S</w:t>
            </w:r>
            <w:r w:rsidRPr="00837111">
              <w:rPr>
                <w:sz w:val="22"/>
                <w:szCs w:val="22"/>
                <w:vertAlign w:val="subscript"/>
              </w:rPr>
              <w:t>2</w:t>
            </w:r>
            <w:r w:rsidRPr="00837111">
              <w:rPr>
                <w:sz w:val="22"/>
                <w:szCs w:val="22"/>
              </w:rPr>
              <w:t>O</w:t>
            </w:r>
            <w:r w:rsidRPr="00837111">
              <w:rPr>
                <w:sz w:val="22"/>
                <w:szCs w:val="22"/>
                <w:vertAlign w:val="subscript"/>
              </w:rPr>
              <w:t xml:space="preserve">3 </w:t>
            </w:r>
            <w:r w:rsidRPr="00837111">
              <w:rPr>
                <w:sz w:val="22"/>
                <w:szCs w:val="22"/>
              </w:rPr>
              <w:t xml:space="preserve"> with KBrO</w:t>
            </w:r>
            <w:r w:rsidRPr="00837111">
              <w:rPr>
                <w:sz w:val="22"/>
                <w:szCs w:val="22"/>
                <w:vertAlign w:val="subscript"/>
              </w:rPr>
              <w:t>3</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sz w:val="22"/>
                <w:szCs w:val="22"/>
              </w:rPr>
            </w:pPr>
            <w:r w:rsidRPr="00837111">
              <w:rPr>
                <w:sz w:val="22"/>
                <w:szCs w:val="22"/>
              </w:rPr>
              <w:t>Titration of Cu</w:t>
            </w:r>
            <w:r w:rsidRPr="00837111">
              <w:rPr>
                <w:sz w:val="22"/>
                <w:szCs w:val="22"/>
                <w:vertAlign w:val="superscript"/>
              </w:rPr>
              <w:t>2+</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sz w:val="22"/>
                <w:szCs w:val="22"/>
              </w:rPr>
            </w:pPr>
            <w:r w:rsidRPr="00837111">
              <w:rPr>
                <w:sz w:val="22"/>
                <w:szCs w:val="22"/>
              </w:rPr>
              <w:t>Determination of Fe</w:t>
            </w:r>
            <w:r w:rsidRPr="00837111">
              <w:rPr>
                <w:sz w:val="22"/>
                <w:szCs w:val="22"/>
                <w:vertAlign w:val="superscript"/>
              </w:rPr>
              <w:t>3+</w:t>
            </w:r>
            <w:r w:rsidRPr="00837111">
              <w:rPr>
                <w:sz w:val="22"/>
                <w:szCs w:val="22"/>
              </w:rPr>
              <w:t xml:space="preserve"> with gravimetric method</w:t>
            </w:r>
          </w:p>
        </w:tc>
      </w:tr>
      <w:tr w:rsidR="00FC59CD" w:rsidRPr="00837111" w:rsidTr="00C7788C">
        <w:tc>
          <w:tcPr>
            <w:tcW w:w="8928" w:type="dxa"/>
            <w:gridSpan w:val="2"/>
          </w:tcPr>
          <w:p w:rsidR="00FC59CD" w:rsidRPr="00837111" w:rsidRDefault="00FC59CD" w:rsidP="00837111">
            <w:pPr>
              <w:pStyle w:val="Default"/>
              <w:tabs>
                <w:tab w:val="left" w:pos="6012"/>
              </w:tabs>
              <w:ind w:right="-90"/>
              <w:jc w:val="both"/>
              <w:rPr>
                <w:sz w:val="22"/>
                <w:szCs w:val="22"/>
              </w:rPr>
            </w:pPr>
            <w:r w:rsidRPr="00837111">
              <w:rPr>
                <w:sz w:val="22"/>
                <w:szCs w:val="22"/>
              </w:rPr>
              <w:t xml:space="preserve">Determination of </w:t>
            </w:r>
            <w:r>
              <w:rPr>
                <w:sz w:val="22"/>
                <w:szCs w:val="22"/>
              </w:rPr>
              <w:t>Ni</w:t>
            </w:r>
            <w:r>
              <w:rPr>
                <w:sz w:val="22"/>
                <w:szCs w:val="22"/>
                <w:vertAlign w:val="superscript"/>
              </w:rPr>
              <w:t>2+</w:t>
            </w:r>
            <w:r w:rsidRPr="00837111">
              <w:rPr>
                <w:sz w:val="22"/>
                <w:szCs w:val="22"/>
              </w:rPr>
              <w:t xml:space="preserve"> with gravimetric method</w:t>
            </w:r>
          </w:p>
        </w:tc>
      </w:tr>
      <w:tr w:rsidR="00837111" w:rsidRPr="00837111" w:rsidTr="00C7788C">
        <w:tc>
          <w:tcPr>
            <w:tcW w:w="8928" w:type="dxa"/>
            <w:gridSpan w:val="2"/>
          </w:tcPr>
          <w:p w:rsidR="00837111" w:rsidRPr="00837111" w:rsidRDefault="00837111" w:rsidP="00837111">
            <w:pPr>
              <w:pStyle w:val="Default"/>
              <w:tabs>
                <w:tab w:val="left" w:pos="6012"/>
              </w:tabs>
              <w:ind w:right="-90"/>
              <w:jc w:val="both"/>
              <w:rPr>
                <w:b/>
                <w:sz w:val="22"/>
                <w:szCs w:val="22"/>
              </w:rPr>
            </w:pPr>
            <w:r w:rsidRPr="00837111">
              <w:rPr>
                <w:b/>
                <w:sz w:val="22"/>
                <w:szCs w:val="22"/>
              </w:rPr>
              <w:t>Testing Analysis</w:t>
            </w:r>
          </w:p>
        </w:tc>
      </w:tr>
    </w:tbl>
    <w:tbl>
      <w:tblPr>
        <w:tblW w:w="392" w:type="dxa"/>
        <w:tblInd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tblGrid>
      <w:tr w:rsidR="00837111" w:rsidRPr="00837111" w:rsidTr="00837111">
        <w:trPr>
          <w:trHeight w:val="219"/>
          <w:hidden/>
        </w:trPr>
        <w:tc>
          <w:tcPr>
            <w:tcW w:w="392" w:type="dxa"/>
          </w:tcPr>
          <w:p w:rsidR="00837111" w:rsidRPr="00837111" w:rsidRDefault="00837111" w:rsidP="00E63674">
            <w:pPr>
              <w:rPr>
                <w:vanish/>
              </w:rPr>
            </w:pPr>
          </w:p>
        </w:tc>
      </w:tr>
    </w:tbl>
    <w:p w:rsidR="00E63674" w:rsidRPr="00837111" w:rsidRDefault="00E63674" w:rsidP="00E63674">
      <w:pPr>
        <w:rPr>
          <w:vanish/>
          <w:sz w:val="22"/>
          <w:szCs w:val="2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E63674" w:rsidRPr="00837111" w:rsidTr="002B5C53">
        <w:tc>
          <w:tcPr>
            <w:tcW w:w="8928" w:type="dxa"/>
            <w:shd w:val="clear" w:color="auto" w:fill="B8CCE4"/>
          </w:tcPr>
          <w:p w:rsidR="00E63674" w:rsidRPr="00837111" w:rsidRDefault="00E63674" w:rsidP="002B5C53">
            <w:pPr>
              <w:jc w:val="center"/>
              <w:rPr>
                <w:rFonts w:ascii="Calibri" w:hAnsi="Calibri"/>
                <w:b/>
              </w:rPr>
            </w:pPr>
            <w:r w:rsidRPr="00837111">
              <w:rPr>
                <w:rFonts w:ascii="Calibri" w:hAnsi="Calibri"/>
                <w:b/>
                <w:sz w:val="22"/>
                <w:szCs w:val="22"/>
              </w:rPr>
              <w:t>Academic policies and rules of conduct:</w:t>
            </w:r>
          </w:p>
        </w:tc>
      </w:tr>
      <w:tr w:rsidR="00E63674" w:rsidRPr="00837111" w:rsidTr="00E72520">
        <w:trPr>
          <w:trHeight w:val="935"/>
        </w:trPr>
        <w:tc>
          <w:tcPr>
            <w:tcW w:w="8928" w:type="dxa"/>
          </w:tcPr>
          <w:p w:rsidR="00E63674" w:rsidRPr="00837111" w:rsidRDefault="00265BA3" w:rsidP="002B5C53">
            <w:pPr>
              <w:jc w:val="both"/>
              <w:rPr>
                <w:lang w:val="de-DE"/>
              </w:rPr>
            </w:pPr>
            <w:r w:rsidRPr="00837111">
              <w:rPr>
                <w:sz w:val="22"/>
                <w:szCs w:val="22"/>
                <w:lang w:val="de-DE"/>
              </w:rPr>
              <w:t>Each student should comply with the policies outlined in the Statute of Uuniversity of Prishtina. The student is required to attend regular lectures, exercises and seminars. To behave in conformity with the code of conduct and to comply with the rules of work in research laboratories.</w:t>
            </w:r>
          </w:p>
        </w:tc>
      </w:tr>
    </w:tbl>
    <w:p w:rsidR="00E63674" w:rsidRPr="00837111" w:rsidRDefault="00E63674" w:rsidP="00E63674">
      <w:pPr>
        <w:rPr>
          <w:rFonts w:ascii="Calibri" w:hAnsi="Calibri"/>
          <w:b/>
          <w:sz w:val="22"/>
          <w:szCs w:val="22"/>
        </w:rPr>
      </w:pPr>
    </w:p>
    <w:p w:rsidR="007B7932" w:rsidRDefault="007B7932" w:rsidP="00E63674">
      <w:pPr>
        <w:rPr>
          <w:rFonts w:ascii="Calibri" w:hAnsi="Calibri"/>
          <w:b/>
          <w:sz w:val="28"/>
          <w:szCs w:val="28"/>
        </w:rPr>
      </w:pPr>
    </w:p>
    <w:p w:rsidR="007B7932" w:rsidRDefault="007B7932" w:rsidP="00E63674">
      <w:pPr>
        <w:rPr>
          <w:rFonts w:ascii="Calibri" w:hAnsi="Calibri"/>
          <w:b/>
          <w:sz w:val="28"/>
          <w:szCs w:val="28"/>
        </w:rPr>
      </w:pPr>
    </w:p>
    <w:sectPr w:rsidR="007B7932" w:rsidSect="00483F14">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EA" w:rsidRDefault="00B747EA" w:rsidP="005304AE">
      <w:r>
        <w:separator/>
      </w:r>
    </w:p>
  </w:endnote>
  <w:endnote w:type="continuationSeparator" w:id="0">
    <w:p w:rsidR="00B747EA" w:rsidRDefault="00B747EA" w:rsidP="0053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9" w:rsidRDefault="00585378" w:rsidP="009B3F0A">
    <w:pPr>
      <w:pStyle w:val="Footer"/>
      <w:framePr w:wrap="around" w:vAnchor="text" w:hAnchor="margin" w:xAlign="right" w:y="1"/>
      <w:rPr>
        <w:rStyle w:val="PageNumber"/>
      </w:rPr>
    </w:pPr>
    <w:r>
      <w:rPr>
        <w:rStyle w:val="PageNumber"/>
      </w:rPr>
      <w:fldChar w:fldCharType="begin"/>
    </w:r>
    <w:r w:rsidR="007B7932">
      <w:rPr>
        <w:rStyle w:val="PageNumber"/>
      </w:rPr>
      <w:instrText xml:space="preserve">PAGE  </w:instrText>
    </w:r>
    <w:r>
      <w:rPr>
        <w:rStyle w:val="PageNumber"/>
      </w:rPr>
      <w:fldChar w:fldCharType="end"/>
    </w:r>
  </w:p>
  <w:p w:rsidR="002D3069" w:rsidRDefault="00B747EA"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9" w:rsidRDefault="00585378" w:rsidP="009B3F0A">
    <w:pPr>
      <w:pStyle w:val="Footer"/>
      <w:framePr w:wrap="around" w:vAnchor="text" w:hAnchor="margin" w:xAlign="right" w:y="1"/>
      <w:rPr>
        <w:rStyle w:val="PageNumber"/>
      </w:rPr>
    </w:pPr>
    <w:r>
      <w:rPr>
        <w:rStyle w:val="PageNumber"/>
      </w:rPr>
      <w:fldChar w:fldCharType="begin"/>
    </w:r>
    <w:r w:rsidR="007B7932">
      <w:rPr>
        <w:rStyle w:val="PageNumber"/>
      </w:rPr>
      <w:instrText xml:space="preserve">PAGE  </w:instrText>
    </w:r>
    <w:r>
      <w:rPr>
        <w:rStyle w:val="PageNumber"/>
      </w:rPr>
      <w:fldChar w:fldCharType="separate"/>
    </w:r>
    <w:r w:rsidR="00F35724">
      <w:rPr>
        <w:rStyle w:val="PageNumber"/>
        <w:noProof/>
      </w:rPr>
      <w:t>4</w:t>
    </w:r>
    <w:r>
      <w:rPr>
        <w:rStyle w:val="PageNumber"/>
      </w:rPr>
      <w:fldChar w:fldCharType="end"/>
    </w:r>
  </w:p>
  <w:p w:rsidR="002D3069" w:rsidRDefault="00B747EA"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EA" w:rsidRDefault="00B747EA" w:rsidP="005304AE">
      <w:r>
        <w:separator/>
      </w:r>
    </w:p>
  </w:footnote>
  <w:footnote w:type="continuationSeparator" w:id="0">
    <w:p w:rsidR="00B747EA" w:rsidRDefault="00B747EA" w:rsidP="0053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674"/>
    <w:multiLevelType w:val="hybridMultilevel"/>
    <w:tmpl w:val="00CCC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3674"/>
    <w:rsid w:val="00075D97"/>
    <w:rsid w:val="00094BC3"/>
    <w:rsid w:val="000D34D2"/>
    <w:rsid w:val="001E7581"/>
    <w:rsid w:val="002348A1"/>
    <w:rsid w:val="00265BA3"/>
    <w:rsid w:val="0027125B"/>
    <w:rsid w:val="002D3FBA"/>
    <w:rsid w:val="003111F3"/>
    <w:rsid w:val="003E6513"/>
    <w:rsid w:val="004072BD"/>
    <w:rsid w:val="00421E31"/>
    <w:rsid w:val="004D49E4"/>
    <w:rsid w:val="005304AE"/>
    <w:rsid w:val="00541D08"/>
    <w:rsid w:val="00585378"/>
    <w:rsid w:val="005956E2"/>
    <w:rsid w:val="006416DF"/>
    <w:rsid w:val="00642963"/>
    <w:rsid w:val="0069646F"/>
    <w:rsid w:val="00724394"/>
    <w:rsid w:val="007B7932"/>
    <w:rsid w:val="00804D01"/>
    <w:rsid w:val="0083293A"/>
    <w:rsid w:val="00837111"/>
    <w:rsid w:val="00A43DC5"/>
    <w:rsid w:val="00A655C6"/>
    <w:rsid w:val="00AC0930"/>
    <w:rsid w:val="00B56AC3"/>
    <w:rsid w:val="00B747EA"/>
    <w:rsid w:val="00D04F2F"/>
    <w:rsid w:val="00D1256C"/>
    <w:rsid w:val="00D47D5C"/>
    <w:rsid w:val="00D60FA1"/>
    <w:rsid w:val="00DE00AD"/>
    <w:rsid w:val="00DE773F"/>
    <w:rsid w:val="00E63674"/>
    <w:rsid w:val="00E72520"/>
    <w:rsid w:val="00E92DAE"/>
    <w:rsid w:val="00E947BD"/>
    <w:rsid w:val="00F35724"/>
    <w:rsid w:val="00FC59CD"/>
    <w:rsid w:val="00FD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63674"/>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243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674"/>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E63674"/>
    <w:rPr>
      <w:color w:val="004B91"/>
      <w:u w:val="single"/>
    </w:rPr>
  </w:style>
  <w:style w:type="paragraph" w:styleId="ListParagraph">
    <w:name w:val="List Paragraph"/>
    <w:basedOn w:val="Normal"/>
    <w:uiPriority w:val="34"/>
    <w:qFormat/>
    <w:rsid w:val="00E63674"/>
    <w:pPr>
      <w:ind w:left="720"/>
      <w:contextualSpacing/>
    </w:pPr>
  </w:style>
  <w:style w:type="character" w:customStyle="1" w:styleId="Heading3Char">
    <w:name w:val="Heading 3 Char"/>
    <w:basedOn w:val="DefaultParagraphFont"/>
    <w:link w:val="Heading3"/>
    <w:uiPriority w:val="9"/>
    <w:rsid w:val="00E63674"/>
    <w:rPr>
      <w:rFonts w:ascii="Times New Roman" w:eastAsia="Times New Roman" w:hAnsi="Times New Roman" w:cs="Times New Roman"/>
      <w:b/>
      <w:bCs/>
      <w:sz w:val="27"/>
      <w:szCs w:val="27"/>
    </w:rPr>
  </w:style>
  <w:style w:type="paragraph" w:styleId="Footer">
    <w:name w:val="footer"/>
    <w:basedOn w:val="Normal"/>
    <w:link w:val="FooterChar"/>
    <w:rsid w:val="00E63674"/>
    <w:pPr>
      <w:tabs>
        <w:tab w:val="center" w:pos="4320"/>
        <w:tab w:val="right" w:pos="8640"/>
      </w:tabs>
    </w:pPr>
  </w:style>
  <w:style w:type="character" w:customStyle="1" w:styleId="FooterChar">
    <w:name w:val="Footer Char"/>
    <w:basedOn w:val="DefaultParagraphFont"/>
    <w:link w:val="Footer"/>
    <w:rsid w:val="00E63674"/>
    <w:rPr>
      <w:rFonts w:ascii="Times New Roman" w:eastAsia="Times New Roman" w:hAnsi="Times New Roman" w:cs="Times New Roman"/>
      <w:sz w:val="24"/>
      <w:szCs w:val="24"/>
    </w:rPr>
  </w:style>
  <w:style w:type="character" w:styleId="PageNumber">
    <w:name w:val="page number"/>
    <w:basedOn w:val="DefaultParagraphFont"/>
    <w:rsid w:val="00E63674"/>
  </w:style>
  <w:style w:type="paragraph" w:customStyle="1" w:styleId="Default">
    <w:name w:val="Default"/>
    <w:uiPriority w:val="99"/>
    <w:rsid w:val="00E636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E63674"/>
  </w:style>
  <w:style w:type="character" w:customStyle="1" w:styleId="Heading5Char">
    <w:name w:val="Heading 5 Char"/>
    <w:basedOn w:val="DefaultParagraphFont"/>
    <w:link w:val="Heading5"/>
    <w:uiPriority w:val="9"/>
    <w:semiHidden/>
    <w:rsid w:val="0072439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1503">
      <w:bodyDiv w:val="1"/>
      <w:marLeft w:val="0"/>
      <w:marRight w:val="0"/>
      <w:marTop w:val="0"/>
      <w:marBottom w:val="0"/>
      <w:divBdr>
        <w:top w:val="none" w:sz="0" w:space="0" w:color="auto"/>
        <w:left w:val="none" w:sz="0" w:space="0" w:color="auto"/>
        <w:bottom w:val="none" w:sz="0" w:space="0" w:color="auto"/>
        <w:right w:val="none" w:sz="0" w:space="0" w:color="auto"/>
      </w:divBdr>
    </w:div>
    <w:div w:id="18165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5&amp;cad=rja&amp;uact=8&amp;ved=0ahUKEwjnvuXRv97JAhWF0h4KHeyiCGEQFgg4MAQ&amp;url=http%3A%2F%2Fprospective.appsci.queensu.ca%2FEngineeringSciencePrograms%2FEngineering-Chemistry.html&amp;usg=AFQjCNHNoh9B4CmcbuWP9mrsA0uQlY4yIw&amp;sig2=GdCY8lzzmV6Fvffhpvxu7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ahUKEwiC67Hjyt7JAhUC9h4KHQoHC7gQFggdMAA&amp;url=https%3A%2F%2Fen.wikipedia.org%2Fwiki%2FPermanganometry&amp;usg=AFQjCNEVFbgwBP0XAoBs50cnpwTgaHUzkw&amp;sig2=0T6GS7ZtaM-hb-xot6Agq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0ahUKEwi-pZrltt7JAhWKHR4KHRFFDB0QFgggMAA&amp;url=http%3A%2F%2Fwww.infoescola.com%2Fquimica%2Fcomplexometria%2F&amp;usg=AFQjCNFoEyQrqnFaYpMr8Ea1SCIgnjxKaw&amp;sig2=TikhxUlhkoK4sV-FxnK2J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4&amp;cad=rja&amp;uact=8&amp;ved=0ahUKEwiEg76Wlt7JAhVFvA8KHSZSA10QFgg0MAM&amp;url=http%3A%2F%2Farchives.evergreen.edu%2Fwebpages%2Fcurricular%2F2000-2001%2FMANDM2000%2FHandouts%2FLabs%2FChemistry%2Flab8w.htm&amp;usg=AFQjCNF9Tfph7EZTdKGbMsbV_DBsv1-muA&amp;sig2=-4XTb2xMggKJAk_ku9yxjQ" TargetMode="External"/><Relationship Id="rId4" Type="http://schemas.openxmlformats.org/officeDocument/2006/relationships/settings" Target="settings.xml"/><Relationship Id="rId9" Type="http://schemas.openxmlformats.org/officeDocument/2006/relationships/hyperlink" Target="http://www.palgrave.com/authors/author-detail/Daniel-C.-Harris/551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dc:creator>
  <cp:lastModifiedBy>Fatmir</cp:lastModifiedBy>
  <cp:revision>4</cp:revision>
  <dcterms:created xsi:type="dcterms:W3CDTF">2016-01-05T08:39:00Z</dcterms:created>
  <dcterms:modified xsi:type="dcterms:W3CDTF">2020-01-29T14:02:00Z</dcterms:modified>
</cp:coreProperties>
</file>