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BB" w:rsidRPr="0026370B" w:rsidRDefault="009B4CBB" w:rsidP="009B4CBB">
      <w:pPr>
        <w:spacing w:before="100" w:beforeAutospacing="1" w:after="100" w:afterAutospacing="1"/>
        <w:rPr>
          <w:rFonts w:ascii="Calibri" w:hAnsi="Calibri"/>
          <w:lang w:val="it-IT"/>
        </w:rPr>
      </w:pPr>
      <w:r w:rsidRPr="00DF4E27">
        <w:rPr>
          <w:rFonts w:ascii="Calibri" w:hAnsi="Calibri"/>
          <w:b/>
          <w:bCs/>
          <w:u w:val="single"/>
        </w:rPr>
        <w:t xml:space="preserve">SYLLABUSI i lëndës: </w:t>
      </w:r>
      <w:r w:rsidR="00337D94">
        <w:rPr>
          <w:rFonts w:ascii="Calibri" w:hAnsi="Calibri"/>
          <w:b/>
          <w:bCs/>
          <w:u w:val="single"/>
        </w:rPr>
        <w:t xml:space="preserve"> </w:t>
      </w:r>
      <w:r w:rsidR="00337D94" w:rsidRPr="00636672">
        <w:rPr>
          <w:rFonts w:asciiTheme="minorHAnsi" w:hAnsiTheme="minorHAnsi"/>
          <w:sz w:val="22"/>
          <w:szCs w:val="22"/>
        </w:rPr>
        <w:t>Kapituj</w:t>
      </w:r>
      <w:r w:rsidR="00337D94">
        <w:rPr>
          <w:rFonts w:asciiTheme="minorHAnsi" w:hAnsiTheme="minorHAnsi"/>
          <w:sz w:val="22"/>
          <w:szCs w:val="22"/>
        </w:rPr>
        <w:t xml:space="preserve"> </w:t>
      </w:r>
      <w:r w:rsidR="00337D94" w:rsidRPr="00636672">
        <w:rPr>
          <w:rFonts w:asciiTheme="minorHAnsi" w:hAnsiTheme="minorHAnsi"/>
          <w:sz w:val="22"/>
          <w:szCs w:val="22"/>
        </w:rPr>
        <w:t>të</w:t>
      </w:r>
      <w:r w:rsidR="00337D94">
        <w:rPr>
          <w:rFonts w:asciiTheme="minorHAnsi" w:hAnsiTheme="minorHAnsi"/>
          <w:sz w:val="22"/>
          <w:szCs w:val="22"/>
        </w:rPr>
        <w:t xml:space="preserve"> </w:t>
      </w:r>
      <w:r w:rsidR="00337D94" w:rsidRPr="00636672">
        <w:rPr>
          <w:rFonts w:asciiTheme="minorHAnsi" w:hAnsiTheme="minorHAnsi"/>
          <w:sz w:val="22"/>
          <w:szCs w:val="22"/>
        </w:rPr>
        <w:t>zgjedhur</w:t>
      </w:r>
      <w:r w:rsidR="00337D94">
        <w:rPr>
          <w:rFonts w:asciiTheme="minorHAnsi" w:hAnsiTheme="minorHAnsi"/>
          <w:sz w:val="22"/>
          <w:szCs w:val="22"/>
        </w:rPr>
        <w:t xml:space="preserve"> </w:t>
      </w:r>
      <w:r w:rsidR="00337D94" w:rsidRPr="00636672">
        <w:rPr>
          <w:rFonts w:asciiTheme="minorHAnsi" w:hAnsiTheme="minorHAnsi"/>
          <w:sz w:val="22"/>
          <w:szCs w:val="22"/>
        </w:rPr>
        <w:t>nga</w:t>
      </w:r>
      <w:r w:rsidR="00337D94">
        <w:rPr>
          <w:rFonts w:asciiTheme="minorHAnsi" w:hAnsiTheme="minorHAnsi"/>
          <w:sz w:val="22"/>
          <w:szCs w:val="22"/>
        </w:rPr>
        <w:t xml:space="preserve"> </w:t>
      </w:r>
      <w:r w:rsidR="00337D94" w:rsidRPr="00636672">
        <w:rPr>
          <w:rFonts w:asciiTheme="minorHAnsi" w:hAnsiTheme="minorHAnsi"/>
          <w:sz w:val="22"/>
          <w:szCs w:val="22"/>
        </w:rPr>
        <w:t>gjeometria e hapësirave</w:t>
      </w:r>
      <w:r w:rsidR="00337D94">
        <w:rPr>
          <w:rFonts w:asciiTheme="minorHAnsi" w:hAnsiTheme="minorHAnsi"/>
          <w:sz w:val="22"/>
          <w:szCs w:val="22"/>
        </w:rPr>
        <w:t xml:space="preserve"> </w:t>
      </w:r>
      <w:r w:rsidR="00337D94" w:rsidRPr="00636672">
        <w:rPr>
          <w:rFonts w:asciiTheme="minorHAnsi" w:hAnsiTheme="minorHAnsi"/>
          <w:sz w:val="22"/>
          <w:szCs w:val="22"/>
        </w:rPr>
        <w:t>të</w:t>
      </w:r>
      <w:r w:rsidR="00337D94">
        <w:rPr>
          <w:rFonts w:asciiTheme="minorHAnsi" w:hAnsiTheme="minorHAnsi"/>
          <w:sz w:val="22"/>
          <w:szCs w:val="22"/>
        </w:rPr>
        <w:t xml:space="preserve"> </w:t>
      </w:r>
      <w:r w:rsidR="00337D94" w:rsidRPr="00636672">
        <w:rPr>
          <w:rFonts w:asciiTheme="minorHAnsi" w:hAnsiTheme="minorHAnsi"/>
          <w:sz w:val="22"/>
          <w:szCs w:val="22"/>
        </w:rPr>
        <w:t>Banach-ut</w:t>
      </w:r>
      <w:r>
        <w:rPr>
          <w:rFonts w:ascii="Calibri" w:hAnsi="Calibri"/>
          <w:b/>
          <w:bCs/>
          <w:u w:val="single"/>
        </w:rPr>
        <w:t xml:space="preserve"> </w:t>
      </w:r>
      <w:bookmarkStart w:id="0" w:name="_GoBack"/>
      <w:bookmarkEnd w:id="0"/>
      <w:r w:rsidRPr="00DF4E27">
        <w:rPr>
          <w:rFonts w:ascii="Calibri" w:hAnsi="Calibri"/>
          <w:b/>
          <w:bCs/>
          <w:u w:val="single"/>
        </w:rPr>
        <w:t xml:space="preserve"> </w:t>
      </w:r>
    </w:p>
    <w:p w:rsidR="009B4CBB" w:rsidRPr="00DF4E27" w:rsidRDefault="009B4CBB" w:rsidP="009B4CB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7"/>
        <w:gridCol w:w="1425"/>
        <w:gridCol w:w="1770"/>
        <w:gridCol w:w="2044"/>
      </w:tblGrid>
      <w:tr w:rsidR="009B4CBB" w:rsidRPr="00DF4E27" w:rsidTr="00883943">
        <w:tc>
          <w:tcPr>
            <w:tcW w:w="8856" w:type="dxa"/>
            <w:gridSpan w:val="4"/>
            <w:shd w:val="clear" w:color="auto" w:fill="B8CCE4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>Të dhëna bazike të lëndës</w:t>
            </w: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 xml:space="preserve">Njësia akademike: </w:t>
            </w:r>
          </w:p>
        </w:tc>
        <w:tc>
          <w:tcPr>
            <w:tcW w:w="5239" w:type="dxa"/>
            <w:gridSpan w:val="3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szCs w:val="28"/>
                <w:lang w:val="sq-AL"/>
              </w:rPr>
              <w:t>FSHMN (Deparetamenti i Matematikës-Drejtimi i Përgjithshëm),  Universiteti i Prishtinës</w:t>
            </w: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Titulli i lëndës:</w:t>
            </w:r>
          </w:p>
        </w:tc>
        <w:tc>
          <w:tcPr>
            <w:tcW w:w="5239" w:type="dxa"/>
            <w:gridSpan w:val="3"/>
          </w:tcPr>
          <w:p w:rsidR="009B4CBB" w:rsidRPr="00DF4E27" w:rsidRDefault="00337D94" w:rsidP="00883943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636672">
              <w:rPr>
                <w:rFonts w:asciiTheme="minorHAnsi" w:hAnsiTheme="minorHAnsi"/>
                <w:sz w:val="22"/>
                <w:szCs w:val="22"/>
              </w:rPr>
              <w:t>Kapituj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36672">
              <w:rPr>
                <w:rFonts w:asciiTheme="minorHAnsi" w:hAnsiTheme="minorHAnsi"/>
                <w:sz w:val="22"/>
                <w:szCs w:val="22"/>
              </w:rPr>
              <w:t>të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36672">
              <w:rPr>
                <w:rFonts w:asciiTheme="minorHAnsi" w:hAnsiTheme="minorHAnsi"/>
                <w:sz w:val="22"/>
                <w:szCs w:val="22"/>
              </w:rPr>
              <w:t>zgjedhur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36672">
              <w:rPr>
                <w:rFonts w:asciiTheme="minorHAnsi" w:hAnsiTheme="minorHAnsi"/>
                <w:sz w:val="22"/>
                <w:szCs w:val="22"/>
              </w:rPr>
              <w:t>nga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36672">
              <w:rPr>
                <w:rFonts w:asciiTheme="minorHAnsi" w:hAnsiTheme="minorHAnsi"/>
                <w:sz w:val="22"/>
                <w:szCs w:val="22"/>
              </w:rPr>
              <w:t>gjeometria e hapësirave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36672">
              <w:rPr>
                <w:rFonts w:asciiTheme="minorHAnsi" w:hAnsiTheme="minorHAnsi"/>
                <w:sz w:val="22"/>
                <w:szCs w:val="22"/>
              </w:rPr>
              <w:t>të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36672">
              <w:rPr>
                <w:rFonts w:asciiTheme="minorHAnsi" w:hAnsiTheme="minorHAnsi"/>
                <w:sz w:val="22"/>
                <w:szCs w:val="22"/>
              </w:rPr>
              <w:t>Banach-ut</w:t>
            </w: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Niveli:</w:t>
            </w:r>
          </w:p>
        </w:tc>
        <w:tc>
          <w:tcPr>
            <w:tcW w:w="5239" w:type="dxa"/>
            <w:gridSpan w:val="3"/>
          </w:tcPr>
          <w:p w:rsidR="009B4CBB" w:rsidRPr="00DF4E27" w:rsidRDefault="00337D94" w:rsidP="00883943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Master</w:t>
            </w: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Statusi lëndës:</w:t>
            </w:r>
          </w:p>
        </w:tc>
        <w:tc>
          <w:tcPr>
            <w:tcW w:w="5239" w:type="dxa"/>
            <w:gridSpan w:val="3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szCs w:val="28"/>
                <w:lang w:val="sq-AL"/>
              </w:rPr>
              <w:t>Obligative</w:t>
            </w: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Viti i studimeve:</w:t>
            </w:r>
          </w:p>
        </w:tc>
        <w:tc>
          <w:tcPr>
            <w:tcW w:w="5239" w:type="dxa"/>
            <w:gridSpan w:val="3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szCs w:val="28"/>
                <w:lang w:val="sq-AL"/>
              </w:rPr>
              <w:t>II-të</w:t>
            </w: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Numri i orëve në javë:</w:t>
            </w:r>
          </w:p>
        </w:tc>
        <w:tc>
          <w:tcPr>
            <w:tcW w:w="5239" w:type="dxa"/>
            <w:gridSpan w:val="3"/>
          </w:tcPr>
          <w:p w:rsidR="009B4CBB" w:rsidRPr="00DF4E27" w:rsidRDefault="00337D94" w:rsidP="00883943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3+0</w:t>
            </w: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Vlera në kredi – ECTS:</w:t>
            </w:r>
          </w:p>
        </w:tc>
        <w:tc>
          <w:tcPr>
            <w:tcW w:w="5239" w:type="dxa"/>
            <w:gridSpan w:val="3"/>
          </w:tcPr>
          <w:p w:rsidR="009B4CBB" w:rsidRPr="00DF4E27" w:rsidRDefault="006D46B2" w:rsidP="00883943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6</w:t>
            </w: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Koha / lokacioni:</w:t>
            </w:r>
          </w:p>
        </w:tc>
        <w:tc>
          <w:tcPr>
            <w:tcW w:w="5239" w:type="dxa"/>
            <w:gridSpan w:val="3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szCs w:val="28"/>
                <w:lang w:val="sq-AL"/>
              </w:rPr>
              <w:t>E mërkure,  9.45 – 12.15, Laboratori V.</w:t>
            </w: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Mësimdhënësi i lëndës:</w:t>
            </w:r>
          </w:p>
        </w:tc>
        <w:tc>
          <w:tcPr>
            <w:tcW w:w="5239" w:type="dxa"/>
            <w:gridSpan w:val="3"/>
          </w:tcPr>
          <w:p w:rsidR="009B4CBB" w:rsidRPr="0026370B" w:rsidRDefault="009B4CBB" w:rsidP="00883943">
            <w:pPr>
              <w:pStyle w:val="NoSpacing"/>
              <w:rPr>
                <w:rFonts w:ascii="Calibri" w:hAnsi="Calibri"/>
                <w:lang w:val="de-DE"/>
              </w:rPr>
            </w:pPr>
            <w:r w:rsidRPr="0026370B">
              <w:rPr>
                <w:rFonts w:ascii="Calibri" w:hAnsi="Calibri"/>
                <w:lang w:val="de-DE"/>
              </w:rPr>
              <w:t xml:space="preserve">Dr. Sc. </w:t>
            </w:r>
            <w:r>
              <w:rPr>
                <w:rFonts w:ascii="Calibri" w:hAnsi="Calibri"/>
                <w:lang w:val="de-DE"/>
              </w:rPr>
              <w:t>Naim Braha</w:t>
            </w: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 xml:space="preserve">Detajet kontaktuese: </w:t>
            </w:r>
          </w:p>
        </w:tc>
        <w:tc>
          <w:tcPr>
            <w:tcW w:w="5239" w:type="dxa"/>
            <w:gridSpan w:val="3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nbraha@yahoo.com</w:t>
            </w:r>
          </w:p>
        </w:tc>
      </w:tr>
      <w:tr w:rsidR="009B4CBB" w:rsidRPr="00DF4E27" w:rsidTr="00883943">
        <w:tc>
          <w:tcPr>
            <w:tcW w:w="8856" w:type="dxa"/>
            <w:gridSpan w:val="4"/>
            <w:shd w:val="clear" w:color="auto" w:fill="B8CCE4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lang w:val="sq-AL"/>
              </w:rPr>
            </w:pP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>Përshkrimi i lëndës</w:t>
            </w:r>
          </w:p>
        </w:tc>
        <w:tc>
          <w:tcPr>
            <w:tcW w:w="5239" w:type="dxa"/>
            <w:gridSpan w:val="3"/>
          </w:tcPr>
          <w:p w:rsidR="009B4CBB" w:rsidRPr="008E55C7" w:rsidRDefault="00BE336D" w:rsidP="00BE336D">
            <w:pPr>
              <w:autoSpaceDE w:val="0"/>
              <w:autoSpaceDN w:val="0"/>
              <w:adjustRightInd w:val="0"/>
              <w:rPr>
                <w:rFonts w:asciiTheme="minorHAnsi" w:eastAsia="CMBX10" w:hAnsiTheme="minorHAnsi" w:cstheme="minorHAnsi"/>
                <w:bCs/>
              </w:rPr>
            </w:pPr>
            <w:r w:rsidRPr="008E55C7">
              <w:rPr>
                <w:rFonts w:asciiTheme="minorHAnsi" w:eastAsia="CMBX10" w:hAnsiTheme="minorHAnsi" w:cstheme="minorHAnsi"/>
                <w:bCs/>
                <w:sz w:val="22"/>
                <w:szCs w:val="22"/>
              </w:rPr>
              <w:t>Me ane te kesaj lende do te behet e mundur te mesohen konceptet themelore te gjeomertrise se hapësirave te Banachut, si ne hapësirat  e vargjeve ashtu edhe ne ato te funksioneve</w:t>
            </w: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>Qëllimet e lëndës:</w:t>
            </w:r>
          </w:p>
        </w:tc>
        <w:tc>
          <w:tcPr>
            <w:tcW w:w="5239" w:type="dxa"/>
            <w:gridSpan w:val="3"/>
          </w:tcPr>
          <w:p w:rsidR="009B4CBB" w:rsidRPr="008E55C7" w:rsidRDefault="00BE336D" w:rsidP="00BE336D">
            <w:pPr>
              <w:jc w:val="both"/>
              <w:rPr>
                <w:rFonts w:asciiTheme="minorHAnsi" w:hAnsiTheme="minorHAnsi" w:cstheme="minorHAnsi"/>
              </w:rPr>
            </w:pPr>
            <w:r w:rsidRPr="008E55C7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Mësimi i lëndës Kapituj të zgjedhur nga gjeometria e hapësirave të Banach-ut,   ka një rëndësi te vecante  për studimin e mëtutjeshëm te Analizes funksionale, dhe zbatimeve te saja ne teorine  e operatoreve, teorine e pikave fikse-qe mundësohet edhe zbatimet ne ekonomi, kriptografi etj.  </w:t>
            </w:r>
            <w:r w:rsidR="009B4CBB" w:rsidRPr="008E55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>Rezultatet e pritura të nxënies:</w:t>
            </w:r>
          </w:p>
        </w:tc>
        <w:tc>
          <w:tcPr>
            <w:tcW w:w="5239" w:type="dxa"/>
            <w:gridSpan w:val="3"/>
          </w:tcPr>
          <w:p w:rsidR="002479F9" w:rsidRPr="00A12332" w:rsidRDefault="002479F9" w:rsidP="002479F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A1233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Pas përfundimit të kësaj lënd</w:t>
            </w: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e studenti duhet</w:t>
            </w:r>
            <w:r w:rsidRPr="00A1233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që</w:t>
            </w: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të</w:t>
            </w:r>
            <w:r w:rsidRPr="00A1233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:</w:t>
            </w:r>
          </w:p>
          <w:p w:rsidR="002479F9" w:rsidRPr="00A12332" w:rsidRDefault="002479F9" w:rsidP="002479F9">
            <w:pPr>
              <w:pStyle w:val="NoSpacing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njohë kuptimet</w:t>
            </w:r>
            <w:r w:rsidRPr="00A1233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bazike mbi bazat e hapësirave te Banachut,  </w:t>
            </w:r>
          </w:p>
          <w:p w:rsidR="002479F9" w:rsidRPr="00A12332" w:rsidRDefault="002479F9" w:rsidP="002479F9">
            <w:pPr>
              <w:pStyle w:val="NoSpacing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përshkruajë</w:t>
            </w:r>
            <w:r w:rsidRPr="00A1233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vetite themelore te hapësirave te vargjeve l_p dhe funksioneve L_p</w:t>
            </w:r>
          </w:p>
          <w:p w:rsidR="009B4CBB" w:rsidRPr="002479F9" w:rsidRDefault="002479F9" w:rsidP="00B51A57">
            <w:pPr>
              <w:pStyle w:val="NoSpacing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përshkruajë vetitë themelore të</w:t>
            </w:r>
            <w:r w:rsidRPr="00A1233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gjeomet</w:t>
            </w: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risë së  hapësirave te Banach-ut.</w:t>
            </w:r>
            <w:r w:rsidRPr="00A1233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</w:t>
            </w:r>
          </w:p>
        </w:tc>
      </w:tr>
      <w:tr w:rsidR="009B4CBB" w:rsidRPr="00DF4E27" w:rsidTr="00883943">
        <w:tc>
          <w:tcPr>
            <w:tcW w:w="8856" w:type="dxa"/>
            <w:gridSpan w:val="4"/>
            <w:shd w:val="clear" w:color="auto" w:fill="B8CCE4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9B4CBB" w:rsidRPr="00DF4E27" w:rsidTr="00883943">
        <w:tc>
          <w:tcPr>
            <w:tcW w:w="8856" w:type="dxa"/>
            <w:gridSpan w:val="4"/>
            <w:shd w:val="clear" w:color="auto" w:fill="B8CCE4"/>
          </w:tcPr>
          <w:p w:rsidR="009B4CBB" w:rsidRPr="00DF4E27" w:rsidRDefault="009B4CBB" w:rsidP="00883943">
            <w:pPr>
              <w:pStyle w:val="NoSpacing"/>
              <w:jc w:val="center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>Kontributi në ngarkesën e studentit (gjë që duhet të korrespondojë me rezultatet e të nxënit të studentit)</w:t>
            </w:r>
          </w:p>
        </w:tc>
      </w:tr>
      <w:tr w:rsidR="009B4CBB" w:rsidRPr="00DF4E27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 xml:space="preserve">Aktiviteti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 xml:space="preserve">Orë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 xml:space="preserve"> Ditë/javë  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>Gjithsej</w:t>
            </w:r>
          </w:p>
        </w:tc>
      </w:tr>
      <w:tr w:rsidR="00C37F8E" w:rsidRPr="00DF4E27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C37F8E" w:rsidRPr="00DF4E27" w:rsidRDefault="00C37F8E" w:rsidP="00883943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Ligjërata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</w:tr>
      <w:tr w:rsidR="00C37F8E" w:rsidRPr="00DF4E27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C37F8E" w:rsidRPr="00DF4E27" w:rsidRDefault="00C37F8E" w:rsidP="00883943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Ushtrime teorike/laboratorike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</w:tr>
      <w:tr w:rsidR="00C37F8E" w:rsidRPr="00DF4E27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C37F8E" w:rsidRPr="00DF4E27" w:rsidRDefault="00C37F8E" w:rsidP="00883943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Punë praktike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</w:tr>
      <w:tr w:rsidR="00C37F8E" w:rsidRPr="00DF4E27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C37F8E" w:rsidRPr="00DF4E27" w:rsidRDefault="00C37F8E" w:rsidP="00883943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Kontaktet me mësimdhënësin/konsultimet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C37F8E" w:rsidRPr="00DF4E27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C37F8E" w:rsidRPr="00DF4E27" w:rsidRDefault="00C37F8E" w:rsidP="00883943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Ushtrime  në teren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</w:tr>
      <w:tr w:rsidR="00C37F8E" w:rsidRPr="00DF4E27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C37F8E" w:rsidRPr="00DF4E27" w:rsidRDefault="00C37F8E" w:rsidP="00883943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lastRenderedPageBreak/>
              <w:t>Kollokuiume, seminare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</w:tr>
      <w:tr w:rsidR="00C37F8E" w:rsidRPr="00DF4E27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C37F8E" w:rsidRPr="00DF4E27" w:rsidRDefault="00C37F8E" w:rsidP="00883943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Detyra të shtëpisë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</w:tr>
      <w:tr w:rsidR="00C37F8E" w:rsidRPr="00DF4E27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C37F8E" w:rsidRPr="00DF4E27" w:rsidRDefault="00C37F8E" w:rsidP="00883943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Koha e studimit vetanak të studentit (në bibliotekë ose në shtëpi)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</w:tr>
      <w:tr w:rsidR="00C37F8E" w:rsidRPr="00DF4E27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C37F8E" w:rsidRPr="00DF4E27" w:rsidRDefault="00C37F8E" w:rsidP="00883943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Përgatitja përfundimtare për provim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C37F8E" w:rsidRPr="00DF4E27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C37F8E" w:rsidRPr="00DF4E27" w:rsidRDefault="00C37F8E" w:rsidP="00883943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Koha e kaluar në vlerësim (teste, kuiz, provim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</w:tr>
      <w:tr w:rsidR="00C37F8E" w:rsidRPr="00DF4E27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C37F8E" w:rsidRPr="00DF4E27" w:rsidRDefault="00C37F8E" w:rsidP="00883943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Projektet, prezantimet ,etj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C37F8E" w:rsidRDefault="00C37F8E" w:rsidP="00B2759C">
            <w:pPr>
              <w:pStyle w:val="NoSpacing"/>
              <w:rPr>
                <w:rFonts w:cs="Calibri"/>
              </w:rPr>
            </w:pPr>
          </w:p>
        </w:tc>
      </w:tr>
      <w:tr w:rsidR="009B4CBB" w:rsidRPr="00DF4E27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 xml:space="preserve">Totali </w:t>
            </w:r>
          </w:p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>2</w:t>
            </w:r>
            <w:r w:rsidR="00C37F8E">
              <w:rPr>
                <w:rFonts w:ascii="Calibri" w:hAnsi="Calibri" w:cs="Calibri"/>
                <w:b/>
              </w:rPr>
              <w:t>03</w:t>
            </w:r>
          </w:p>
        </w:tc>
      </w:tr>
      <w:tr w:rsidR="009B4CBB" w:rsidRPr="00DF4E27" w:rsidTr="00883943">
        <w:tc>
          <w:tcPr>
            <w:tcW w:w="8856" w:type="dxa"/>
            <w:gridSpan w:val="4"/>
            <w:shd w:val="clear" w:color="auto" w:fill="B8CCE4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 xml:space="preserve">Metodologjia e mësimdhënies:  </w:t>
            </w:r>
          </w:p>
        </w:tc>
        <w:tc>
          <w:tcPr>
            <w:tcW w:w="5239" w:type="dxa"/>
            <w:gridSpan w:val="3"/>
          </w:tcPr>
          <w:p w:rsidR="009B4CBB" w:rsidRPr="00DF4E27" w:rsidRDefault="009B4CBB" w:rsidP="00883943">
            <w:pPr>
              <w:rPr>
                <w:rFonts w:ascii="Calibri" w:hAnsi="Calibri" w:cs="Calibri"/>
                <w:i/>
              </w:rPr>
            </w:pPr>
            <w:r w:rsidRPr="00DF4E27">
              <w:rPr>
                <w:rFonts w:ascii="Calibri" w:hAnsi="Calibri" w:cs="Calibri"/>
              </w:rPr>
              <w:t xml:space="preserve">Ligjërata, diskutime gjatë ligjëratave, konsultime në grupe apo individuale, kolokuiume, provime. </w:t>
            </w: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5239" w:type="dxa"/>
            <w:gridSpan w:val="3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>Metodat e vlerësimit:</w:t>
            </w:r>
          </w:p>
        </w:tc>
        <w:tc>
          <w:tcPr>
            <w:tcW w:w="5239" w:type="dxa"/>
            <w:gridSpan w:val="3"/>
          </w:tcPr>
          <w:p w:rsidR="009B4CBB" w:rsidRPr="00DF4E27" w:rsidRDefault="009B4CBB" w:rsidP="00883943">
            <w:pPr>
              <w:jc w:val="both"/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 xml:space="preserve">Vlerësimi i parë (kollokuium): </w:t>
            </w:r>
            <w:r w:rsidRPr="00DF4E27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45</w:t>
            </w:r>
            <w:r w:rsidRPr="00DF4E27">
              <w:rPr>
                <w:rFonts w:ascii="Calibri" w:hAnsi="Calibri" w:cs="Calibri"/>
              </w:rPr>
              <w:t>%</w:t>
            </w:r>
          </w:p>
          <w:p w:rsidR="009B4CBB" w:rsidRPr="00DF4E27" w:rsidRDefault="009B4CBB" w:rsidP="00883943">
            <w:pPr>
              <w:jc w:val="both"/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Vlerësimi i dytë (kollokuium):</w:t>
            </w:r>
            <w:r w:rsidRPr="00DF4E27">
              <w:rPr>
                <w:rFonts w:ascii="Calibri" w:hAnsi="Calibri" w:cs="Calibri"/>
              </w:rPr>
              <w:tab/>
              <w:t xml:space="preserve">            </w:t>
            </w:r>
            <w:r>
              <w:rPr>
                <w:rFonts w:ascii="Calibri" w:hAnsi="Calibri" w:cs="Calibri"/>
              </w:rPr>
              <w:t>45</w:t>
            </w:r>
            <w:r w:rsidRPr="00DF4E27">
              <w:rPr>
                <w:rFonts w:ascii="Calibri" w:hAnsi="Calibri" w:cs="Calibri"/>
              </w:rPr>
              <w:t>%</w:t>
            </w:r>
          </w:p>
          <w:p w:rsidR="009B4CBB" w:rsidRDefault="009B4CBB" w:rsidP="00883943">
            <w:pPr>
              <w:jc w:val="both"/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Vijimi i rregullt</w:t>
            </w:r>
            <w:r>
              <w:rPr>
                <w:rFonts w:ascii="Calibri" w:hAnsi="Calibri" w:cs="Calibri"/>
              </w:rPr>
              <w:t xml:space="preserve"> dhe a</w:t>
            </w:r>
            <w:r w:rsidRPr="00DF4E27">
              <w:rPr>
                <w:rFonts w:ascii="Calibri" w:hAnsi="Calibri" w:cs="Calibri"/>
              </w:rPr>
              <w:t xml:space="preserve">ktiviteti </w:t>
            </w:r>
            <w:r>
              <w:rPr>
                <w:rFonts w:ascii="Calibri" w:hAnsi="Calibri" w:cs="Calibri"/>
              </w:rPr>
              <w:t>ne mesim</w:t>
            </w:r>
          </w:p>
          <w:p w:rsidR="009B4CBB" w:rsidRPr="00DF4E27" w:rsidRDefault="009B4CBB" w:rsidP="0088394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</w:t>
            </w:r>
            <w:r w:rsidRPr="00DF4E27">
              <w:rPr>
                <w:rFonts w:ascii="Calibri" w:hAnsi="Calibri" w:cs="Calibri"/>
              </w:rPr>
              <w:t xml:space="preserve">            </w:t>
            </w:r>
            <w:r>
              <w:rPr>
                <w:rFonts w:ascii="Calibri" w:hAnsi="Calibri" w:cs="Calibri"/>
              </w:rPr>
              <w:t xml:space="preserve">                             </w:t>
            </w:r>
            <w:r w:rsidRPr="00DF4E27">
              <w:rPr>
                <w:rFonts w:ascii="Calibri" w:hAnsi="Calibri" w:cs="Calibri"/>
              </w:rPr>
              <w:t xml:space="preserve">     1</w:t>
            </w:r>
            <w:r>
              <w:rPr>
                <w:rFonts w:ascii="Calibri" w:hAnsi="Calibri" w:cs="Calibri"/>
              </w:rPr>
              <w:t>0</w:t>
            </w:r>
            <w:r w:rsidRPr="00DF4E27">
              <w:rPr>
                <w:rFonts w:ascii="Calibri" w:hAnsi="Calibri" w:cs="Calibri"/>
              </w:rPr>
              <w:t>%</w:t>
            </w:r>
          </w:p>
          <w:p w:rsidR="009B4CBB" w:rsidRPr="00DF4E27" w:rsidRDefault="009B4CBB" w:rsidP="00883943">
            <w:pPr>
              <w:jc w:val="both"/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Total:</w:t>
            </w:r>
            <w:r w:rsidRPr="00DF4E27">
              <w:rPr>
                <w:rFonts w:ascii="Calibri" w:hAnsi="Calibri" w:cs="Calibri"/>
              </w:rPr>
              <w:tab/>
            </w:r>
            <w:r w:rsidRPr="00DF4E27">
              <w:rPr>
                <w:rFonts w:ascii="Calibri" w:hAnsi="Calibri" w:cs="Calibri"/>
              </w:rPr>
              <w:tab/>
            </w:r>
            <w:r w:rsidRPr="00DF4E27">
              <w:rPr>
                <w:rFonts w:ascii="Calibri" w:hAnsi="Calibri" w:cs="Calibri"/>
              </w:rPr>
              <w:tab/>
            </w:r>
            <w:r w:rsidRPr="00DF4E27">
              <w:rPr>
                <w:rFonts w:ascii="Calibri" w:hAnsi="Calibri" w:cs="Calibri"/>
              </w:rPr>
              <w:tab/>
            </w:r>
            <w:r w:rsidRPr="00DF4E27">
              <w:rPr>
                <w:rFonts w:ascii="Calibri" w:hAnsi="Calibri" w:cs="Calibri"/>
              </w:rPr>
              <w:tab/>
              <w:t>100%</w:t>
            </w:r>
          </w:p>
        </w:tc>
      </w:tr>
      <w:tr w:rsidR="009B4CBB" w:rsidRPr="00DF4E27" w:rsidTr="00883943">
        <w:tc>
          <w:tcPr>
            <w:tcW w:w="8856" w:type="dxa"/>
            <w:gridSpan w:val="4"/>
            <w:shd w:val="clear" w:color="auto" w:fill="B8CCE4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 xml:space="preserve">Literatura </w:t>
            </w: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 xml:space="preserve">Literatura bazë:  </w:t>
            </w:r>
          </w:p>
        </w:tc>
        <w:tc>
          <w:tcPr>
            <w:tcW w:w="5239" w:type="dxa"/>
            <w:gridSpan w:val="3"/>
          </w:tcPr>
          <w:p w:rsidR="003E72F6" w:rsidRPr="00734E02" w:rsidRDefault="003E72F6" w:rsidP="003E72F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RMT" w:eastAsiaTheme="minorHAnsi" w:hAnsi="TimesNRMT" w:cs="TimesNRMT"/>
                <w:color w:val="141314"/>
              </w:rPr>
            </w:pPr>
            <w:r w:rsidRPr="00734E02">
              <w:rPr>
                <w:rFonts w:ascii="TimesNRMT" w:eastAsiaTheme="minorHAnsi" w:hAnsi="TimesNRMT" w:cs="TimesNRMT"/>
                <w:color w:val="141314"/>
              </w:rPr>
              <w:t>Fernando Albiac and Nigel J.Kalton</w:t>
            </w:r>
          </w:p>
          <w:p w:rsidR="003E72F6" w:rsidRPr="00734E02" w:rsidRDefault="003E72F6" w:rsidP="003E72F6">
            <w:pPr>
              <w:autoSpaceDE w:val="0"/>
              <w:autoSpaceDN w:val="0"/>
              <w:adjustRightInd w:val="0"/>
              <w:rPr>
                <w:rFonts w:ascii="TimesNRMT" w:eastAsiaTheme="minorHAnsi" w:hAnsi="TimesNRMT" w:cs="TimesNRMT"/>
                <w:color w:val="141314"/>
              </w:rPr>
            </w:pPr>
            <w:r w:rsidRPr="00734E02">
              <w:rPr>
                <w:rFonts w:ascii="TimesNRMT" w:eastAsiaTheme="minorHAnsi" w:hAnsi="TimesNRMT" w:cs="TimesNRMT"/>
                <w:color w:val="141314"/>
              </w:rPr>
              <w:t>Topics in Banach Space, Springer 2006,</w:t>
            </w:r>
          </w:p>
          <w:p w:rsidR="009B4CBB" w:rsidRPr="003E72F6" w:rsidRDefault="003E72F6" w:rsidP="003E72F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E72F6">
              <w:rPr>
                <w:rFonts w:ascii="TimesNRMT" w:eastAsiaTheme="minorHAnsi" w:hAnsi="TimesNRMT" w:cs="TimesNRMT"/>
                <w:color w:val="141314"/>
              </w:rPr>
              <w:t>J. Diestel, Geometry of Banach spaces, Springer, 1975.</w:t>
            </w:r>
            <w:r w:rsidR="009B4CBB" w:rsidRPr="003E72F6">
              <w:rPr>
                <w:rFonts w:ascii="Calibri" w:hAnsi="Calibri" w:cs="Calibri"/>
              </w:rPr>
              <w:t xml:space="preserve"> </w:t>
            </w:r>
          </w:p>
        </w:tc>
      </w:tr>
      <w:tr w:rsidR="009B4CBB" w:rsidRPr="00DF4E27" w:rsidTr="00883943">
        <w:tc>
          <w:tcPr>
            <w:tcW w:w="3617" w:type="dxa"/>
          </w:tcPr>
          <w:p w:rsidR="009B4CBB" w:rsidRPr="00DF4E27" w:rsidRDefault="009B4CBB" w:rsidP="0088394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 xml:space="preserve">Literatura shtesë:  </w:t>
            </w:r>
          </w:p>
        </w:tc>
        <w:tc>
          <w:tcPr>
            <w:tcW w:w="5239" w:type="dxa"/>
            <w:gridSpan w:val="3"/>
          </w:tcPr>
          <w:p w:rsidR="00F95A1C" w:rsidRDefault="00F95A1C" w:rsidP="00F95A1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RMT" w:eastAsiaTheme="minorHAnsi" w:hAnsi="TimesNRMT" w:cs="TimesNRMT"/>
                <w:color w:val="141314"/>
              </w:rPr>
            </w:pPr>
            <w:r w:rsidRPr="00734E02">
              <w:rPr>
                <w:rFonts w:ascii="TimesNRMT" w:eastAsiaTheme="minorHAnsi" w:hAnsi="TimesNRMT" w:cs="TimesNRMT"/>
                <w:color w:val="141314"/>
              </w:rPr>
              <w:t xml:space="preserve">J. Lindenstrauss and L. Tzafir, </w:t>
            </w:r>
            <w:r>
              <w:rPr>
                <w:rFonts w:ascii="TimesNRMT" w:eastAsiaTheme="minorHAnsi" w:hAnsi="TimesNRMT" w:cs="TimesNRMT"/>
                <w:color w:val="141314"/>
              </w:rPr>
              <w:t>Classical</w:t>
            </w:r>
          </w:p>
          <w:p w:rsidR="00F95A1C" w:rsidRPr="003E72F6" w:rsidRDefault="00F95A1C" w:rsidP="00F95A1C">
            <w:pPr>
              <w:autoSpaceDE w:val="0"/>
              <w:autoSpaceDN w:val="0"/>
              <w:adjustRightInd w:val="0"/>
              <w:rPr>
                <w:rFonts w:ascii="TimesNRMT" w:eastAsiaTheme="minorHAnsi" w:hAnsi="TimesNRMT" w:cs="TimesNRMT"/>
                <w:color w:val="141314"/>
              </w:rPr>
            </w:pPr>
            <w:r w:rsidRPr="003E72F6">
              <w:rPr>
                <w:rFonts w:ascii="TimesNRMT" w:eastAsiaTheme="minorHAnsi" w:hAnsi="TimesNRMT" w:cs="TimesNRMT"/>
                <w:color w:val="141314"/>
              </w:rPr>
              <w:t>Banach spaces, part I, II, 1979, Springer</w:t>
            </w:r>
          </w:p>
          <w:p w:rsidR="009B4CBB" w:rsidRPr="00DF4E27" w:rsidRDefault="009B4CBB" w:rsidP="0088394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</w:p>
        </w:tc>
      </w:tr>
    </w:tbl>
    <w:tbl>
      <w:tblPr>
        <w:tblpPr w:leftFromText="180" w:rightFromText="180" w:vertAnchor="text" w:horzAnchor="margin" w:tblpY="10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8"/>
        <w:gridCol w:w="6138"/>
      </w:tblGrid>
      <w:tr w:rsidR="009B4CBB" w:rsidRPr="00DF4E27" w:rsidTr="00883943">
        <w:tc>
          <w:tcPr>
            <w:tcW w:w="8856" w:type="dxa"/>
            <w:gridSpan w:val="2"/>
            <w:shd w:val="clear" w:color="auto" w:fill="B8CCE4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 xml:space="preserve">Plani i dizajnuar i mësimit:  </w:t>
            </w:r>
          </w:p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</w:p>
        </w:tc>
      </w:tr>
      <w:tr w:rsidR="009B4CBB" w:rsidRPr="00DF4E27" w:rsidTr="00883943">
        <w:tc>
          <w:tcPr>
            <w:tcW w:w="2718" w:type="dxa"/>
            <w:shd w:val="clear" w:color="auto" w:fill="B8CCE4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>Java</w:t>
            </w:r>
          </w:p>
        </w:tc>
        <w:tc>
          <w:tcPr>
            <w:tcW w:w="6138" w:type="dxa"/>
            <w:shd w:val="clear" w:color="auto" w:fill="B8CCE4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>Ligjërata që do të zhvillohet</w:t>
            </w:r>
          </w:p>
        </w:tc>
      </w:tr>
      <w:tr w:rsidR="009B4CBB" w:rsidRPr="00DF4E27" w:rsidTr="00883943">
        <w:tc>
          <w:tcPr>
            <w:tcW w:w="2718" w:type="dxa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parë:</w:t>
            </w:r>
          </w:p>
        </w:tc>
        <w:tc>
          <w:tcPr>
            <w:tcW w:w="6138" w:type="dxa"/>
          </w:tcPr>
          <w:p w:rsidR="009B4CBB" w:rsidRPr="00DF4E27" w:rsidRDefault="000457F0" w:rsidP="000457F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734E02">
              <w:rPr>
                <w:rFonts w:ascii="CMBX10" w:eastAsia="CMBX10" w:hAnsiTheme="minorHAnsi" w:cs="CMBX10"/>
                <w:b/>
                <w:bCs/>
                <w:sz w:val="20"/>
                <w:szCs w:val="20"/>
              </w:rPr>
              <w:t>Vargjet bazike dhe basat ne Hapesirta e Banachut</w:t>
            </w:r>
            <w:r w:rsidR="009B4CBB" w:rsidRPr="00DF4E27">
              <w:rPr>
                <w:rFonts w:ascii="Calibri" w:hAnsi="Calibri" w:cs="Calibri"/>
              </w:rPr>
              <w:t xml:space="preserve">  </w:t>
            </w:r>
          </w:p>
        </w:tc>
      </w:tr>
      <w:tr w:rsidR="009B4CBB" w:rsidRPr="00DF4E27" w:rsidTr="00883943">
        <w:tc>
          <w:tcPr>
            <w:tcW w:w="2718" w:type="dxa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dytë:</w:t>
            </w:r>
          </w:p>
        </w:tc>
        <w:tc>
          <w:tcPr>
            <w:tcW w:w="6138" w:type="dxa"/>
          </w:tcPr>
          <w:p w:rsidR="009B4CBB" w:rsidRPr="00DF4E27" w:rsidRDefault="000457F0" w:rsidP="000457F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734E02">
              <w:rPr>
                <w:rFonts w:ascii="CMBX10" w:eastAsia="CMBX10" w:hAnsiTheme="minorHAnsi" w:cs="CMBX10"/>
                <w:b/>
                <w:bCs/>
                <w:sz w:val="20"/>
                <w:szCs w:val="20"/>
              </w:rPr>
              <w:t>Hapesirat klasike te vargjeve,</w:t>
            </w:r>
            <w:r w:rsidR="009B4CBB" w:rsidRPr="00DF4E27">
              <w:rPr>
                <w:rFonts w:ascii="Calibri" w:hAnsi="Calibri"/>
              </w:rPr>
              <w:t xml:space="preserve">.  </w:t>
            </w:r>
          </w:p>
        </w:tc>
      </w:tr>
      <w:tr w:rsidR="009B4CBB" w:rsidRPr="00DF4E27" w:rsidTr="00883943">
        <w:tc>
          <w:tcPr>
            <w:tcW w:w="2718" w:type="dxa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tretë</w:t>
            </w:r>
            <w:r w:rsidRPr="00DF4E27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138" w:type="dxa"/>
          </w:tcPr>
          <w:p w:rsidR="009B4CBB" w:rsidRPr="00DF4E27" w:rsidRDefault="000457F0" w:rsidP="000457F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734E02">
              <w:rPr>
                <w:rFonts w:ascii="CMBX10" w:eastAsia="CMBX10" w:hAnsiTheme="minorHAnsi" w:cs="CMBX10"/>
                <w:b/>
                <w:bCs/>
                <w:sz w:val="20"/>
                <w:szCs w:val="20"/>
              </w:rPr>
              <w:t xml:space="preserve">disa tipe te veqanta te bazave ne hapesirat e banachut, </w:t>
            </w:r>
          </w:p>
        </w:tc>
      </w:tr>
      <w:tr w:rsidR="009B4CBB" w:rsidRPr="00DF4E27" w:rsidTr="00883943">
        <w:tc>
          <w:tcPr>
            <w:tcW w:w="2718" w:type="dxa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katërt:</w:t>
            </w:r>
          </w:p>
        </w:tc>
        <w:tc>
          <w:tcPr>
            <w:tcW w:w="6138" w:type="dxa"/>
          </w:tcPr>
          <w:p w:rsidR="009B4CBB" w:rsidRPr="00DF4E27" w:rsidRDefault="000457F0" w:rsidP="000457F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734E02">
              <w:rPr>
                <w:rFonts w:ascii="CMBX10" w:eastAsia="CMBX10" w:hAnsiTheme="minorHAnsi" w:cs="CMBX10"/>
                <w:b/>
                <w:bCs/>
                <w:sz w:val="20"/>
                <w:szCs w:val="20"/>
              </w:rPr>
              <w:t xml:space="preserve">Funksionet e vazhdueshme ne Hapesirat e Banachut, </w:t>
            </w:r>
          </w:p>
        </w:tc>
      </w:tr>
      <w:tr w:rsidR="009B4CBB" w:rsidRPr="00DF4E27" w:rsidTr="00883943">
        <w:tc>
          <w:tcPr>
            <w:tcW w:w="2718" w:type="dxa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pestë:</w:t>
            </w:r>
            <w:r w:rsidRPr="00DF4E27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6138" w:type="dxa"/>
          </w:tcPr>
          <w:p w:rsidR="009B4CBB" w:rsidRPr="003B5151" w:rsidRDefault="000457F0" w:rsidP="003B5151">
            <w:pPr>
              <w:autoSpaceDE w:val="0"/>
              <w:autoSpaceDN w:val="0"/>
              <w:adjustRightInd w:val="0"/>
              <w:rPr>
                <w:rFonts w:ascii="CMBSY10" w:eastAsia="CMBSY10" w:hAnsiTheme="minorHAnsi" w:cs="CMBSY10"/>
                <w:b/>
                <w:bCs/>
                <w:i/>
                <w:iCs/>
                <w:sz w:val="20"/>
                <w:szCs w:val="20"/>
              </w:rPr>
            </w:pPr>
            <w:r w:rsidRPr="00734E02">
              <w:rPr>
                <w:rFonts w:ascii="CMBX10" w:eastAsia="CMBX10" w:hAnsiTheme="minorHAnsi" w:cs="CMBX10"/>
                <w:b/>
                <w:bCs/>
                <w:sz w:val="20"/>
                <w:szCs w:val="20"/>
              </w:rPr>
              <w:t xml:space="preserve">Hapesirat  </w:t>
            </w:r>
            <w:r w:rsidRPr="00734E02">
              <w:rPr>
                <w:rFonts w:ascii="CMMIB10" w:eastAsia="CMBX10" w:hAnsi="CMMIB10" w:cs="CMMIB10"/>
                <w:b/>
                <w:bCs/>
                <w:i/>
                <w:iCs/>
                <w:sz w:val="20"/>
                <w:szCs w:val="20"/>
              </w:rPr>
              <w:t>L</w:t>
            </w:r>
            <w:r w:rsidRPr="00734E02">
              <w:rPr>
                <w:rFonts w:ascii="CMBX7" w:eastAsia="CMBX10" w:hAnsi="CMBX7" w:cs="CMBX7"/>
                <w:b/>
                <w:bCs/>
                <w:sz w:val="14"/>
                <w:szCs w:val="14"/>
              </w:rPr>
              <w:t>1</w:t>
            </w:r>
            <w:r w:rsidRPr="00734E02">
              <w:rPr>
                <w:rFonts w:ascii="CMBX10" w:eastAsia="CMBX10" w:hAnsiTheme="minorHAnsi" w:cs="CMBX10"/>
                <w:b/>
                <w:bCs/>
                <w:sz w:val="20"/>
                <w:szCs w:val="20"/>
              </w:rPr>
              <w:t>(</w:t>
            </w:r>
            <w:r w:rsidRPr="00734E02">
              <w:rPr>
                <w:rFonts w:ascii="CMMIB10" w:eastAsia="CMBX10" w:hAnsi="CMMIB10" w:cs="CMMIB10"/>
                <w:b/>
                <w:bCs/>
                <w:i/>
                <w:iCs/>
                <w:sz w:val="20"/>
                <w:szCs w:val="20"/>
              </w:rPr>
              <w:t>μ</w:t>
            </w:r>
            <w:r w:rsidRPr="00734E02">
              <w:rPr>
                <w:rFonts w:ascii="CMBX10" w:eastAsia="CMBX10" w:hAnsiTheme="minorHAnsi" w:cs="CMBX10"/>
                <w:b/>
                <w:bCs/>
                <w:sz w:val="20"/>
                <w:szCs w:val="20"/>
              </w:rPr>
              <w:t xml:space="preserve">)-dhe  </w:t>
            </w:r>
            <w:r w:rsidRPr="00734E02">
              <w:rPr>
                <w:rFonts w:ascii="CMBSY10" w:eastAsia="CMBSY10" w:hAnsiTheme="minorHAnsi" w:cs="CMBSY10"/>
                <w:b/>
                <w:bCs/>
                <w:i/>
                <w:iCs/>
                <w:sz w:val="20"/>
                <w:szCs w:val="20"/>
              </w:rPr>
              <w:t>C</w:t>
            </w:r>
            <w:r w:rsidRPr="00734E02">
              <w:rPr>
                <w:rFonts w:ascii="CMBX10" w:eastAsia="CMBX10" w:hAnsiTheme="minorHAnsi" w:cs="CMBX10"/>
                <w:b/>
                <w:bCs/>
                <w:sz w:val="20"/>
                <w:szCs w:val="20"/>
              </w:rPr>
              <w:t>(</w:t>
            </w:r>
            <w:r w:rsidRPr="00734E02">
              <w:rPr>
                <w:rFonts w:ascii="CMMIB10" w:eastAsia="CMBX10" w:hAnsi="CMMIB10" w:cs="CMMIB10"/>
                <w:b/>
                <w:bCs/>
                <w:i/>
                <w:iCs/>
                <w:sz w:val="20"/>
                <w:szCs w:val="20"/>
              </w:rPr>
              <w:t>K</w:t>
            </w:r>
            <w:r w:rsidRPr="00734E02">
              <w:rPr>
                <w:rFonts w:ascii="CMBX10" w:eastAsia="CMBX10" w:hAnsiTheme="minorHAnsi" w:cs="CMBX10"/>
                <w:b/>
                <w:bCs/>
                <w:sz w:val="20"/>
                <w:szCs w:val="20"/>
              </w:rPr>
              <w:t xml:space="preserve">), </w:t>
            </w:r>
          </w:p>
        </w:tc>
      </w:tr>
      <w:tr w:rsidR="009B4CBB" w:rsidRPr="00DF4E27" w:rsidTr="00883943">
        <w:tc>
          <w:tcPr>
            <w:tcW w:w="2718" w:type="dxa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gjashtë</w:t>
            </w:r>
            <w:r w:rsidRPr="00DF4E27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138" w:type="dxa"/>
          </w:tcPr>
          <w:p w:rsidR="009B4CBB" w:rsidRPr="00DF4E27" w:rsidRDefault="000457F0" w:rsidP="000457F0">
            <w:pPr>
              <w:jc w:val="both"/>
              <w:rPr>
                <w:rFonts w:ascii="Calibri" w:hAnsi="Calibri" w:cs="Calibri"/>
              </w:rPr>
            </w:pPr>
            <w:r w:rsidRPr="00734E02">
              <w:rPr>
                <w:rFonts w:ascii="CMBSY10" w:eastAsia="CMBSY10" w:hAnsiTheme="minorHAnsi" w:cs="CMBSY10"/>
                <w:b/>
                <w:bCs/>
                <w:i/>
                <w:iCs/>
                <w:sz w:val="20"/>
                <w:szCs w:val="20"/>
              </w:rPr>
              <w:t xml:space="preserve">Teorema e faktorizimit, </w:t>
            </w:r>
          </w:p>
        </w:tc>
      </w:tr>
      <w:tr w:rsidR="009B4CBB" w:rsidRPr="00DF4E27" w:rsidTr="00883943">
        <w:tc>
          <w:tcPr>
            <w:tcW w:w="2718" w:type="dxa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  <w:i/>
              </w:rPr>
              <w:lastRenderedPageBreak/>
              <w:t>Java e shtatë</w:t>
            </w:r>
            <w:r w:rsidRPr="00DF4E27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138" w:type="dxa"/>
          </w:tcPr>
          <w:p w:rsidR="009B4CBB" w:rsidRPr="00DF4E27" w:rsidRDefault="000457F0" w:rsidP="000457F0">
            <w:pPr>
              <w:jc w:val="both"/>
              <w:rPr>
                <w:rFonts w:ascii="Calibri" w:hAnsi="Calibri" w:cs="Calibri"/>
                <w:i/>
              </w:rPr>
            </w:pPr>
            <w:r w:rsidRPr="00734E02">
              <w:rPr>
                <w:rFonts w:ascii="CMBSY10" w:eastAsia="CMBSY10" w:hAnsiTheme="minorHAnsi" w:cs="CMBSY10"/>
                <w:b/>
                <w:bCs/>
                <w:i/>
                <w:iCs/>
                <w:sz w:val="20"/>
                <w:szCs w:val="20"/>
              </w:rPr>
              <w:t xml:space="preserve">Operatoret Ansolutisht et shumueshem, </w:t>
            </w:r>
          </w:p>
        </w:tc>
      </w:tr>
      <w:tr w:rsidR="009B4CBB" w:rsidRPr="00DF4E27" w:rsidTr="00883943">
        <w:tc>
          <w:tcPr>
            <w:tcW w:w="2718" w:type="dxa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tetë:</w:t>
            </w:r>
            <w:r w:rsidRPr="00DF4E27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6138" w:type="dxa"/>
          </w:tcPr>
          <w:p w:rsidR="009B4CBB" w:rsidRPr="00DF4E27" w:rsidRDefault="000457F0" w:rsidP="000457F0">
            <w:pPr>
              <w:rPr>
                <w:rFonts w:ascii="Calibri" w:hAnsi="Calibri" w:cs="Calibri"/>
                <w:i/>
              </w:rPr>
            </w:pPr>
            <w:r w:rsidRPr="00734E02">
              <w:rPr>
                <w:rFonts w:ascii="CMBSY10" w:eastAsia="CMBSY10" w:hAnsiTheme="minorHAnsi" w:cs="CMBSY10"/>
                <w:b/>
                <w:bCs/>
                <w:i/>
                <w:iCs/>
                <w:sz w:val="20"/>
                <w:szCs w:val="20"/>
              </w:rPr>
              <w:t xml:space="preserve">bazat homogjene perfekte dhe zbatimet e tyre, </w:t>
            </w:r>
          </w:p>
        </w:tc>
      </w:tr>
      <w:tr w:rsidR="009B4CBB" w:rsidRPr="00DF4E27" w:rsidTr="00883943">
        <w:tc>
          <w:tcPr>
            <w:tcW w:w="2718" w:type="dxa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nëntë:</w:t>
            </w:r>
            <w:r w:rsidRPr="00DF4E27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6138" w:type="dxa"/>
          </w:tcPr>
          <w:p w:rsidR="009B4CBB" w:rsidRPr="00DF4E27" w:rsidRDefault="000457F0" w:rsidP="000457F0">
            <w:pPr>
              <w:rPr>
                <w:rFonts w:ascii="Calibri" w:hAnsi="Calibri" w:cs="Calibri"/>
                <w:i/>
              </w:rPr>
            </w:pPr>
            <w:r w:rsidRPr="00734E02">
              <w:rPr>
                <w:rFonts w:ascii="CMBSY10" w:eastAsia="CMBSY10" w:hAnsiTheme="minorHAnsi" w:cs="CMBSY10"/>
                <w:b/>
                <w:bCs/>
                <w:i/>
                <w:iCs/>
                <w:sz w:val="20"/>
                <w:szCs w:val="20"/>
              </w:rPr>
              <w:t>l_p nenhapesirat e Hapesirave te Banachut,</w:t>
            </w:r>
          </w:p>
        </w:tc>
      </w:tr>
      <w:tr w:rsidR="009B4CBB" w:rsidRPr="00DF4E27" w:rsidTr="00883943">
        <w:tc>
          <w:tcPr>
            <w:tcW w:w="2718" w:type="dxa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dhjetë:</w:t>
            </w:r>
          </w:p>
        </w:tc>
        <w:tc>
          <w:tcPr>
            <w:tcW w:w="6138" w:type="dxa"/>
          </w:tcPr>
          <w:p w:rsidR="009B4CBB" w:rsidRPr="00DF4E27" w:rsidRDefault="000457F0" w:rsidP="000457F0">
            <w:pPr>
              <w:jc w:val="both"/>
              <w:rPr>
                <w:rFonts w:ascii="Calibri" w:hAnsi="Calibri" w:cs="Calibri"/>
              </w:rPr>
            </w:pPr>
            <w:r w:rsidRPr="00734E02">
              <w:rPr>
                <w:rFonts w:ascii="CMBSY10" w:eastAsia="CMBSY10" w:hAnsiTheme="minorHAnsi" w:cs="CMBSY10"/>
                <w:b/>
                <w:bCs/>
                <w:i/>
                <w:iCs/>
                <w:sz w:val="20"/>
                <w:szCs w:val="20"/>
              </w:rPr>
              <w:t xml:space="preserve">paraqitja e fundme e hapesirave l_p, </w:t>
            </w:r>
          </w:p>
        </w:tc>
      </w:tr>
      <w:tr w:rsidR="009B4CBB" w:rsidRPr="00DF4E27" w:rsidTr="00883943">
        <w:tc>
          <w:tcPr>
            <w:tcW w:w="2718" w:type="dxa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njëmbëdhjetë</w:t>
            </w:r>
            <w:r w:rsidRPr="00DF4E27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138" w:type="dxa"/>
          </w:tcPr>
          <w:p w:rsidR="009B4CBB" w:rsidRPr="00DF4E27" w:rsidRDefault="000457F0" w:rsidP="000457F0">
            <w:pPr>
              <w:jc w:val="both"/>
              <w:rPr>
                <w:rFonts w:ascii="Calibri" w:hAnsi="Calibri" w:cs="Calibri"/>
                <w:i/>
              </w:rPr>
            </w:pPr>
            <w:r w:rsidRPr="00734E02">
              <w:rPr>
                <w:rFonts w:ascii="CMBSY10" w:eastAsia="CMBSY10" w:hAnsiTheme="minorHAnsi" w:cs="CMBSY10"/>
                <w:b/>
                <w:bCs/>
                <w:i/>
                <w:iCs/>
                <w:sz w:val="20"/>
                <w:szCs w:val="20"/>
              </w:rPr>
              <w:t xml:space="preserve">nje hyrje ne teorine locale, </w:t>
            </w:r>
          </w:p>
        </w:tc>
      </w:tr>
      <w:tr w:rsidR="009B4CBB" w:rsidRPr="00DF4E27" w:rsidTr="00883943">
        <w:tc>
          <w:tcPr>
            <w:tcW w:w="2718" w:type="dxa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dymbëdhjetë</w:t>
            </w:r>
            <w:r w:rsidRPr="00DF4E27">
              <w:rPr>
                <w:rFonts w:ascii="Calibri" w:hAnsi="Calibri" w:cs="Calibri"/>
                <w:b/>
              </w:rPr>
              <w:t xml:space="preserve">:  </w:t>
            </w:r>
          </w:p>
        </w:tc>
        <w:tc>
          <w:tcPr>
            <w:tcW w:w="6138" w:type="dxa"/>
          </w:tcPr>
          <w:p w:rsidR="009B4CBB" w:rsidRPr="00DF4E27" w:rsidRDefault="000457F0" w:rsidP="000457F0">
            <w:pPr>
              <w:jc w:val="both"/>
              <w:rPr>
                <w:rFonts w:ascii="Calibri" w:hAnsi="Calibri" w:cs="Calibri"/>
                <w:i/>
              </w:rPr>
            </w:pPr>
            <w:r w:rsidRPr="00734E02">
              <w:rPr>
                <w:rFonts w:ascii="CMBSY10" w:eastAsia="CMBSY10" w:hAnsiTheme="minorHAnsi" w:cs="CMBSY10"/>
                <w:b/>
                <w:bCs/>
                <w:i/>
                <w:iCs/>
                <w:sz w:val="20"/>
                <w:szCs w:val="20"/>
              </w:rPr>
              <w:t xml:space="preserve">disa shembuj te rendesishem ne hapesirat e Banachut, </w:t>
            </w:r>
          </w:p>
        </w:tc>
      </w:tr>
      <w:tr w:rsidR="009B4CBB" w:rsidRPr="00DF4E27" w:rsidTr="00883943">
        <w:tc>
          <w:tcPr>
            <w:tcW w:w="2718" w:type="dxa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trembëdhjetë</w:t>
            </w:r>
            <w:r w:rsidRPr="00DF4E27">
              <w:rPr>
                <w:rFonts w:ascii="Calibri" w:hAnsi="Calibri" w:cs="Calibri"/>
                <w:b/>
              </w:rPr>
              <w:t xml:space="preserve">:    </w:t>
            </w:r>
          </w:p>
        </w:tc>
        <w:tc>
          <w:tcPr>
            <w:tcW w:w="6138" w:type="dxa"/>
          </w:tcPr>
          <w:p w:rsidR="009B4CBB" w:rsidRPr="00DF4E27" w:rsidRDefault="000457F0" w:rsidP="000457F0">
            <w:pPr>
              <w:jc w:val="both"/>
              <w:rPr>
                <w:rFonts w:ascii="Calibri" w:hAnsi="Calibri" w:cs="Calibri"/>
              </w:rPr>
            </w:pPr>
            <w:r w:rsidRPr="00734E02">
              <w:rPr>
                <w:rFonts w:ascii="CMBSY10" w:eastAsia="CMBSY10" w:hAnsiTheme="minorHAnsi" w:cs="CMBSY10"/>
                <w:b/>
                <w:bCs/>
                <w:i/>
                <w:iCs/>
                <w:sz w:val="20"/>
                <w:szCs w:val="20"/>
              </w:rPr>
              <w:t xml:space="preserve">konvexisiteti dhe diferenciabiliteti I normave, </w:t>
            </w:r>
          </w:p>
        </w:tc>
      </w:tr>
      <w:tr w:rsidR="009B4CBB" w:rsidRPr="00DF4E27" w:rsidTr="00883943">
        <w:tc>
          <w:tcPr>
            <w:tcW w:w="2718" w:type="dxa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katërmbëdhjetë</w:t>
            </w:r>
            <w:r w:rsidRPr="00DF4E27">
              <w:rPr>
                <w:rFonts w:ascii="Calibri" w:hAnsi="Calibri" w:cs="Calibri"/>
                <w:b/>
              </w:rPr>
              <w:t xml:space="preserve">:  </w:t>
            </w:r>
          </w:p>
        </w:tc>
        <w:tc>
          <w:tcPr>
            <w:tcW w:w="6138" w:type="dxa"/>
          </w:tcPr>
          <w:p w:rsidR="009B4CBB" w:rsidRPr="00DF4E27" w:rsidRDefault="000457F0" w:rsidP="000457F0">
            <w:pPr>
              <w:jc w:val="both"/>
              <w:rPr>
                <w:rFonts w:ascii="Calibri" w:hAnsi="Calibri" w:cs="Calibri"/>
              </w:rPr>
            </w:pPr>
            <w:r w:rsidRPr="00734E02">
              <w:rPr>
                <w:rFonts w:ascii="CMBSY10" w:eastAsia="CMBSY10" w:hAnsiTheme="minorHAnsi" w:cs="CMBSY10"/>
                <w:b/>
                <w:bCs/>
                <w:i/>
                <w:iCs/>
                <w:sz w:val="20"/>
                <w:szCs w:val="20"/>
              </w:rPr>
              <w:t xml:space="preserve">Hapesirat uniformisht konvekse te banachut  dhe uniformisht te lemuara, </w:t>
            </w:r>
          </w:p>
        </w:tc>
      </w:tr>
      <w:tr w:rsidR="009B4CBB" w:rsidRPr="00DF4E27" w:rsidTr="00883943">
        <w:tc>
          <w:tcPr>
            <w:tcW w:w="2718" w:type="dxa"/>
          </w:tcPr>
          <w:p w:rsidR="009B4CBB" w:rsidRPr="00DF4E27" w:rsidRDefault="009B4CBB" w:rsidP="00883943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pesëmbëdhjetë</w:t>
            </w:r>
            <w:r w:rsidRPr="00DF4E27">
              <w:rPr>
                <w:rFonts w:ascii="Calibri" w:hAnsi="Calibri" w:cs="Calibri"/>
                <w:b/>
              </w:rPr>
              <w:t xml:space="preserve">:   </w:t>
            </w:r>
          </w:p>
        </w:tc>
        <w:tc>
          <w:tcPr>
            <w:tcW w:w="6138" w:type="dxa"/>
          </w:tcPr>
          <w:p w:rsidR="009B4CBB" w:rsidRPr="00DF4E27" w:rsidRDefault="000457F0" w:rsidP="00883943">
            <w:pPr>
              <w:rPr>
                <w:rFonts w:ascii="Calibri" w:hAnsi="Calibri" w:cs="Calibri"/>
              </w:rPr>
            </w:pPr>
            <w:r w:rsidRPr="00734E02">
              <w:rPr>
                <w:rFonts w:ascii="CMBSY10" w:eastAsia="CMBSY10" w:hAnsiTheme="minorHAnsi" w:cs="CMBSY10"/>
                <w:b/>
                <w:bCs/>
                <w:i/>
                <w:iCs/>
                <w:sz w:val="20"/>
                <w:szCs w:val="20"/>
              </w:rPr>
              <w:t>Renormimi ne Hapesirat  e Banachut</w:t>
            </w:r>
          </w:p>
        </w:tc>
      </w:tr>
    </w:tbl>
    <w:p w:rsidR="009B4CBB" w:rsidRDefault="009B4CBB" w:rsidP="009B4CBB">
      <w:pPr>
        <w:rPr>
          <w:rFonts w:ascii="Calibri" w:hAnsi="Calibri" w:cs="Calibri"/>
          <w:b/>
        </w:rPr>
      </w:pPr>
    </w:p>
    <w:p w:rsidR="009B4CBB" w:rsidRDefault="009B4CBB" w:rsidP="009B4CBB">
      <w:pPr>
        <w:rPr>
          <w:rFonts w:ascii="Calibri" w:hAnsi="Calibri" w:cs="Calibri"/>
          <w:b/>
        </w:rPr>
      </w:pPr>
    </w:p>
    <w:p w:rsidR="009B4CBB" w:rsidRDefault="009B4CBB" w:rsidP="009B4CBB">
      <w:pPr>
        <w:rPr>
          <w:rFonts w:ascii="Calibri" w:hAnsi="Calibri" w:cs="Calibri"/>
          <w:b/>
        </w:rPr>
      </w:pPr>
    </w:p>
    <w:p w:rsidR="009B4CBB" w:rsidRDefault="009B4CBB" w:rsidP="009B4CBB">
      <w:pPr>
        <w:rPr>
          <w:rFonts w:ascii="Calibri" w:hAnsi="Calibri" w:cs="Calibri"/>
          <w:b/>
        </w:rPr>
      </w:pPr>
    </w:p>
    <w:p w:rsidR="009B4CBB" w:rsidRPr="00DF4E27" w:rsidRDefault="009B4CBB" w:rsidP="009B4CBB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6"/>
      </w:tblGrid>
      <w:tr w:rsidR="009B4CBB" w:rsidRPr="00DF4E27" w:rsidTr="00883943">
        <w:tc>
          <w:tcPr>
            <w:tcW w:w="8856" w:type="dxa"/>
            <w:shd w:val="clear" w:color="auto" w:fill="B8CCE4"/>
          </w:tcPr>
          <w:p w:rsidR="009B4CBB" w:rsidRPr="00DF4E27" w:rsidRDefault="009B4CBB" w:rsidP="00883943">
            <w:pPr>
              <w:jc w:val="center"/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>Politikat akademike dhe rregullat e mirësjelljes:</w:t>
            </w:r>
          </w:p>
        </w:tc>
      </w:tr>
      <w:tr w:rsidR="009B4CBB" w:rsidRPr="00DF4E27" w:rsidTr="00883943">
        <w:trPr>
          <w:trHeight w:val="1088"/>
        </w:trPr>
        <w:tc>
          <w:tcPr>
            <w:tcW w:w="8856" w:type="dxa"/>
          </w:tcPr>
          <w:p w:rsidR="009B4CBB" w:rsidRPr="00DF4E27" w:rsidRDefault="009B4CBB" w:rsidP="00883943">
            <w:pPr>
              <w:jc w:val="both"/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Vijimi i rregullt në ligjërata e  ushtrime i obligueshëm (me tri mungesa të paarsyeshme nuk merret nënshkrimi). Në sallën e mësimit  studentët duhet të gjenden para fillimit të ligjëratës. Respektimi i  Statutit  e Universitetit të Prishtinës dhe rregullave  tjera të Universitetit e Fakultetit.  Po ashtu,  përdorimi i celularëve apo mjeteve tjera elektronike që e pengojnë procesin e mësimit, do të jetë i ndaluar.</w:t>
            </w:r>
          </w:p>
        </w:tc>
      </w:tr>
    </w:tbl>
    <w:p w:rsidR="009B4CBB" w:rsidRPr="00DF4E27" w:rsidRDefault="009B4CBB" w:rsidP="009B4CBB">
      <w:pPr>
        <w:rPr>
          <w:rFonts w:ascii="Calibri" w:hAnsi="Calibri" w:cs="Calibri"/>
          <w:b/>
        </w:rPr>
      </w:pPr>
    </w:p>
    <w:p w:rsidR="009B4CBB" w:rsidRPr="00DF4E27" w:rsidRDefault="009B4CBB" w:rsidP="009B4CBB">
      <w:pPr>
        <w:rPr>
          <w:rFonts w:ascii="Calibri" w:hAnsi="Calibri" w:cs="Calibri"/>
        </w:rPr>
      </w:pPr>
    </w:p>
    <w:p w:rsidR="009B4CBB" w:rsidRPr="00DF4E27" w:rsidRDefault="009B4CBB" w:rsidP="009B4CBB">
      <w:pPr>
        <w:rPr>
          <w:rFonts w:ascii="Calibri" w:hAnsi="Calibri"/>
        </w:rPr>
      </w:pPr>
    </w:p>
    <w:p w:rsidR="00582AE2" w:rsidRDefault="00582AE2"/>
    <w:sectPr w:rsidR="00582AE2" w:rsidSect="00DD002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1F" w:rsidRDefault="00D2011F">
      <w:r>
        <w:separator/>
      </w:r>
    </w:p>
  </w:endnote>
  <w:endnote w:type="continuationSeparator" w:id="0">
    <w:p w:rsidR="00D2011F" w:rsidRDefault="00D2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BX1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R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SY1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MIB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FD5" w:rsidRDefault="003B5151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FD5" w:rsidRDefault="00D2011F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FD5" w:rsidRDefault="003B5151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46B2">
      <w:rPr>
        <w:rStyle w:val="PageNumber"/>
        <w:noProof/>
      </w:rPr>
      <w:t>1</w:t>
    </w:r>
    <w:r>
      <w:rPr>
        <w:rStyle w:val="PageNumber"/>
      </w:rPr>
      <w:fldChar w:fldCharType="end"/>
    </w:r>
  </w:p>
  <w:p w:rsidR="00655FD5" w:rsidRDefault="00D2011F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1F" w:rsidRDefault="00D2011F">
      <w:r>
        <w:separator/>
      </w:r>
    </w:p>
  </w:footnote>
  <w:footnote w:type="continuationSeparator" w:id="0">
    <w:p w:rsidR="00D2011F" w:rsidRDefault="00D2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65481"/>
    <w:multiLevelType w:val="hybridMultilevel"/>
    <w:tmpl w:val="FEA8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78E2"/>
    <w:multiLevelType w:val="hybridMultilevel"/>
    <w:tmpl w:val="ACF48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36A1B"/>
    <w:multiLevelType w:val="hybridMultilevel"/>
    <w:tmpl w:val="ACF48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96015"/>
    <w:multiLevelType w:val="hybridMultilevel"/>
    <w:tmpl w:val="BBECFDC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BB"/>
    <w:rsid w:val="000457F0"/>
    <w:rsid w:val="001803B0"/>
    <w:rsid w:val="002479F9"/>
    <w:rsid w:val="00282E4D"/>
    <w:rsid w:val="00337D94"/>
    <w:rsid w:val="003B5151"/>
    <w:rsid w:val="003E72F6"/>
    <w:rsid w:val="00582AE2"/>
    <w:rsid w:val="006D46B2"/>
    <w:rsid w:val="0072328E"/>
    <w:rsid w:val="008E55C7"/>
    <w:rsid w:val="009B4CBB"/>
    <w:rsid w:val="00B51A57"/>
    <w:rsid w:val="00BD6FB0"/>
    <w:rsid w:val="00BE336D"/>
    <w:rsid w:val="00C37F8E"/>
    <w:rsid w:val="00D2011F"/>
    <w:rsid w:val="00F9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F116A-4D09-4AAA-8F93-56B01086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B4C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CBB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uiPriority w:val="99"/>
    <w:rsid w:val="009B4CBB"/>
    <w:rPr>
      <w:rFonts w:cs="Times New Roman"/>
    </w:rPr>
  </w:style>
  <w:style w:type="paragraph" w:styleId="NoSpacing">
    <w:name w:val="No Spacing"/>
    <w:link w:val="NoSpacingChar"/>
    <w:uiPriority w:val="1"/>
    <w:qFormat/>
    <w:rsid w:val="009B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72F6"/>
    <w:pPr>
      <w:ind w:left="720"/>
      <w:contextualSpacing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479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nbraha</dc:creator>
  <cp:lastModifiedBy>Bujar</cp:lastModifiedBy>
  <cp:revision>15</cp:revision>
  <dcterms:created xsi:type="dcterms:W3CDTF">2017-02-11T14:56:00Z</dcterms:created>
  <dcterms:modified xsi:type="dcterms:W3CDTF">2022-01-15T19:35:00Z</dcterms:modified>
</cp:coreProperties>
</file>