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D08" w:rsidRDefault="0079146D" w:rsidP="009A7D08">
      <w:pPr>
        <w:spacing w:line="240" w:lineRule="auto"/>
        <w:jc w:val="both"/>
        <w:rPr>
          <w:rFonts w:ascii="Times New Roman" w:hAnsi="Times New Roman"/>
          <w:b/>
          <w:sz w:val="24"/>
          <w:szCs w:val="24"/>
          <w:lang w:val="en-GB"/>
        </w:rPr>
      </w:pPr>
      <w:r w:rsidRPr="005F5D15">
        <w:rPr>
          <w:rFonts w:ascii="Times New Roman" w:hAnsi="Times New Roman"/>
          <w:b/>
          <w:sz w:val="24"/>
          <w:szCs w:val="24"/>
        </w:rPr>
        <w:t xml:space="preserve">Subject: </w:t>
      </w:r>
      <w:r w:rsidR="009A7D08">
        <w:rPr>
          <w:rFonts w:ascii="Times New Roman" w:hAnsi="Times New Roman"/>
          <w:b/>
          <w:sz w:val="24"/>
          <w:szCs w:val="24"/>
        </w:rPr>
        <w:tab/>
      </w:r>
      <w:r w:rsidR="009A7D08">
        <w:rPr>
          <w:rFonts w:ascii="Times New Roman" w:hAnsi="Times New Roman"/>
          <w:b/>
          <w:sz w:val="24"/>
          <w:szCs w:val="24"/>
        </w:rPr>
        <w:tab/>
      </w:r>
      <w:r w:rsidRPr="005F5D15">
        <w:rPr>
          <w:rFonts w:ascii="Times New Roman" w:hAnsi="Times New Roman"/>
          <w:b/>
          <w:sz w:val="24"/>
          <w:szCs w:val="24"/>
          <w:lang w:val="en-GB"/>
        </w:rPr>
        <w:t>Chemical Engineering</w:t>
      </w:r>
    </w:p>
    <w:p w:rsidR="0079146D" w:rsidRPr="005F5D15" w:rsidRDefault="0079146D" w:rsidP="009A7D08">
      <w:pPr>
        <w:spacing w:line="240" w:lineRule="auto"/>
        <w:jc w:val="both"/>
        <w:rPr>
          <w:rFonts w:ascii="Times New Roman" w:hAnsi="Times New Roman"/>
          <w:b/>
          <w:sz w:val="24"/>
          <w:szCs w:val="24"/>
          <w:lang w:val="en-GB"/>
        </w:rPr>
      </w:pPr>
      <w:r w:rsidRPr="005F5D15">
        <w:rPr>
          <w:rFonts w:ascii="Times New Roman" w:hAnsi="Times New Roman"/>
          <w:b/>
          <w:sz w:val="24"/>
          <w:szCs w:val="24"/>
          <w:lang w:val="en-GB"/>
        </w:rPr>
        <w:t xml:space="preserve">Lecturer: </w:t>
      </w:r>
      <w:r w:rsidR="009A7D08">
        <w:rPr>
          <w:rFonts w:ascii="Times New Roman" w:hAnsi="Times New Roman"/>
          <w:b/>
          <w:sz w:val="24"/>
          <w:szCs w:val="24"/>
          <w:lang w:val="en-GB"/>
        </w:rPr>
        <w:tab/>
      </w:r>
      <w:r w:rsidR="009A7D08">
        <w:rPr>
          <w:rFonts w:ascii="Times New Roman" w:hAnsi="Times New Roman"/>
          <w:b/>
          <w:sz w:val="24"/>
          <w:szCs w:val="24"/>
          <w:lang w:val="en-GB"/>
        </w:rPr>
        <w:tab/>
      </w:r>
      <w:proofErr w:type="spellStart"/>
      <w:r w:rsidRPr="005F5D15">
        <w:rPr>
          <w:rFonts w:ascii="Times New Roman" w:hAnsi="Times New Roman"/>
          <w:b/>
          <w:sz w:val="24"/>
          <w:szCs w:val="24"/>
          <w:lang w:val="en-GB"/>
        </w:rPr>
        <w:t>Prof.</w:t>
      </w:r>
      <w:proofErr w:type="spellEnd"/>
      <w:r w:rsidRPr="005F5D15">
        <w:rPr>
          <w:rFonts w:ascii="Times New Roman" w:hAnsi="Times New Roman"/>
          <w:b/>
          <w:sz w:val="24"/>
          <w:szCs w:val="24"/>
          <w:lang w:val="en-GB"/>
        </w:rPr>
        <w:t xml:space="preserve"> </w:t>
      </w:r>
      <w:proofErr w:type="spellStart"/>
      <w:r w:rsidR="009A7D08">
        <w:rPr>
          <w:rFonts w:ascii="Times New Roman" w:hAnsi="Times New Roman"/>
          <w:b/>
          <w:sz w:val="24"/>
          <w:szCs w:val="24"/>
          <w:lang w:val="en-GB"/>
        </w:rPr>
        <w:t>D</w:t>
      </w:r>
      <w:r w:rsidRPr="005F5D15">
        <w:rPr>
          <w:rFonts w:ascii="Times New Roman" w:hAnsi="Times New Roman"/>
          <w:b/>
          <w:sz w:val="24"/>
          <w:szCs w:val="24"/>
          <w:lang w:val="en-GB"/>
        </w:rPr>
        <w:t>r.</w:t>
      </w:r>
      <w:proofErr w:type="spellEnd"/>
      <w:r w:rsidRPr="005F5D15">
        <w:rPr>
          <w:rFonts w:ascii="Times New Roman" w:hAnsi="Times New Roman"/>
          <w:b/>
          <w:sz w:val="24"/>
          <w:szCs w:val="24"/>
          <w:lang w:val="en-GB"/>
        </w:rPr>
        <w:t xml:space="preserve"> Ram</w:t>
      </w:r>
      <w:r>
        <w:rPr>
          <w:rFonts w:ascii="Times New Roman" w:hAnsi="Times New Roman"/>
          <w:b/>
          <w:sz w:val="24"/>
          <w:szCs w:val="24"/>
          <w:lang w:val="en-GB"/>
        </w:rPr>
        <w:t>ë</w:t>
      </w:r>
      <w:r w:rsidRPr="005F5D15">
        <w:rPr>
          <w:rFonts w:ascii="Times New Roman" w:hAnsi="Times New Roman"/>
          <w:b/>
          <w:sz w:val="24"/>
          <w:szCs w:val="24"/>
          <w:lang w:val="en-GB"/>
        </w:rPr>
        <w:t xml:space="preserve"> Vataj</w:t>
      </w:r>
    </w:p>
    <w:p w:rsidR="0079146D" w:rsidRPr="005F5D15" w:rsidRDefault="0079146D" w:rsidP="009A7D08">
      <w:pPr>
        <w:spacing w:line="240" w:lineRule="auto"/>
        <w:jc w:val="both"/>
        <w:rPr>
          <w:rFonts w:ascii="Times New Roman" w:hAnsi="Times New Roman"/>
          <w:b/>
          <w:sz w:val="24"/>
          <w:szCs w:val="24"/>
          <w:lang w:val="en-GB"/>
        </w:rPr>
      </w:pPr>
      <w:r w:rsidRPr="005F5D15">
        <w:rPr>
          <w:rFonts w:ascii="Times New Roman" w:hAnsi="Times New Roman"/>
          <w:b/>
          <w:sz w:val="24"/>
          <w:szCs w:val="24"/>
          <w:lang w:val="en-GB"/>
        </w:rPr>
        <w:t xml:space="preserve">Course status: </w:t>
      </w:r>
      <w:r w:rsidR="009A7D08">
        <w:rPr>
          <w:rFonts w:ascii="Times New Roman" w:hAnsi="Times New Roman"/>
          <w:b/>
          <w:sz w:val="24"/>
          <w:szCs w:val="24"/>
          <w:lang w:val="en-GB"/>
        </w:rPr>
        <w:tab/>
      </w:r>
      <w:r w:rsidRPr="005F5D15">
        <w:rPr>
          <w:rFonts w:ascii="Times New Roman" w:hAnsi="Times New Roman"/>
          <w:b/>
          <w:sz w:val="24"/>
          <w:szCs w:val="24"/>
          <w:lang w:val="en-GB"/>
        </w:rPr>
        <w:t>Obligatory</w:t>
      </w:r>
    </w:p>
    <w:p w:rsidR="0079146D" w:rsidRPr="005F5D15" w:rsidRDefault="0079146D" w:rsidP="009A7D08">
      <w:pPr>
        <w:spacing w:line="240" w:lineRule="auto"/>
        <w:jc w:val="both"/>
        <w:rPr>
          <w:rFonts w:ascii="Times New Roman" w:hAnsi="Times New Roman"/>
          <w:b/>
          <w:sz w:val="24"/>
          <w:szCs w:val="24"/>
        </w:rPr>
      </w:pPr>
      <w:r w:rsidRPr="005F5D15">
        <w:rPr>
          <w:rFonts w:ascii="Times New Roman" w:hAnsi="Times New Roman"/>
          <w:b/>
          <w:sz w:val="24"/>
          <w:szCs w:val="24"/>
          <w:lang w:val="en-GB"/>
        </w:rPr>
        <w:t xml:space="preserve">ECTS: </w:t>
      </w:r>
      <w:r w:rsidR="009A7D08">
        <w:rPr>
          <w:rFonts w:ascii="Times New Roman" w:hAnsi="Times New Roman"/>
          <w:b/>
          <w:sz w:val="24"/>
          <w:szCs w:val="24"/>
          <w:lang w:val="en-GB"/>
        </w:rPr>
        <w:tab/>
      </w:r>
      <w:r w:rsidR="009A7D08">
        <w:rPr>
          <w:rFonts w:ascii="Times New Roman" w:hAnsi="Times New Roman"/>
          <w:b/>
          <w:sz w:val="24"/>
          <w:szCs w:val="24"/>
          <w:lang w:val="en-GB"/>
        </w:rPr>
        <w:tab/>
      </w:r>
      <w:r>
        <w:rPr>
          <w:rFonts w:ascii="Times New Roman" w:hAnsi="Times New Roman"/>
          <w:b/>
          <w:sz w:val="24"/>
          <w:szCs w:val="24"/>
          <w:lang w:val="en-GB"/>
        </w:rPr>
        <w:t>6</w:t>
      </w:r>
    </w:p>
    <w:p w:rsidR="0079146D" w:rsidRPr="000573C0" w:rsidRDefault="0079146D" w:rsidP="009A7D08">
      <w:pPr>
        <w:spacing w:line="240" w:lineRule="auto"/>
        <w:jc w:val="both"/>
        <w:rPr>
          <w:rFonts w:ascii="Times New Roman" w:hAnsi="Times New Roman"/>
          <w:sz w:val="24"/>
          <w:szCs w:val="24"/>
        </w:rPr>
      </w:pPr>
      <w:r w:rsidRPr="000573C0">
        <w:rPr>
          <w:rFonts w:ascii="Times New Roman" w:hAnsi="Times New Roman"/>
          <w:b/>
          <w:sz w:val="24"/>
          <w:szCs w:val="24"/>
          <w:lang w:val="it-IT"/>
        </w:rPr>
        <w:t xml:space="preserve">Short description of the content: </w:t>
      </w:r>
      <w:r w:rsidRPr="000573C0">
        <w:rPr>
          <w:rFonts w:ascii="Times New Roman" w:hAnsi="Times New Roman"/>
          <w:sz w:val="24"/>
          <w:szCs w:val="24"/>
        </w:rPr>
        <w:t xml:space="preserve">Introduction (the importance of chemical engineering in the field of technology, science, and economy, trends in chemical engineering). Process variables, presentation and analysis of experimental data, least squares method, calculation examples. The concept of quantitative solution of chemical engineering (definition of the system, problem determination, its mathematical formulation, solution and verification, calculation examples). General material balance of steady and unsteady state system. The Process and the processing scheme (the basic processing variables, the basic phases of chemical process: preparation, chemical conversion, isolation and purification of product, batch, continuous and semi batch processes, recurring or recycle flow). Examples of synthesis of individual procedures into the process (calculus examples). </w:t>
      </w:r>
    </w:p>
    <w:p w:rsidR="0079146D" w:rsidRPr="000573C0" w:rsidRDefault="0079146D" w:rsidP="009A7D08">
      <w:pPr>
        <w:spacing w:line="240" w:lineRule="auto"/>
        <w:jc w:val="both"/>
        <w:rPr>
          <w:rFonts w:ascii="Times New Roman" w:hAnsi="Times New Roman"/>
          <w:sz w:val="24"/>
          <w:szCs w:val="24"/>
        </w:rPr>
      </w:pPr>
      <w:r w:rsidRPr="000573C0">
        <w:rPr>
          <w:rFonts w:ascii="Times New Roman" w:hAnsi="Times New Roman"/>
          <w:b/>
          <w:sz w:val="24"/>
          <w:szCs w:val="24"/>
        </w:rPr>
        <w:t>The aim of the course</w:t>
      </w:r>
      <w:r w:rsidRPr="000573C0">
        <w:rPr>
          <w:rFonts w:ascii="Times New Roman" w:hAnsi="Times New Roman"/>
          <w:sz w:val="24"/>
          <w:szCs w:val="24"/>
        </w:rPr>
        <w:t xml:space="preserve">: Understanding of characteristics in the chemical engineering field. Ability to identify the problem, solve it and to interpret it in quantitative form. The knowledge of using material and energy balances, mathematical tools and basic chemical and physics laws to solve practical problems. Ability to </w:t>
      </w:r>
      <w:proofErr w:type="spellStart"/>
      <w:r w:rsidRPr="000573C0">
        <w:rPr>
          <w:rFonts w:ascii="Times New Roman" w:hAnsi="Times New Roman"/>
          <w:sz w:val="24"/>
          <w:szCs w:val="24"/>
        </w:rPr>
        <w:t>analyse</w:t>
      </w:r>
      <w:proofErr w:type="spellEnd"/>
      <w:r w:rsidRPr="000573C0">
        <w:rPr>
          <w:rFonts w:ascii="Times New Roman" w:hAnsi="Times New Roman"/>
          <w:sz w:val="24"/>
          <w:szCs w:val="24"/>
        </w:rPr>
        <w:t xml:space="preserve"> processes and the processing schemes. To develop an interest in engineering problem proceedings.</w:t>
      </w:r>
    </w:p>
    <w:p w:rsidR="0079146D" w:rsidRPr="000573C0" w:rsidRDefault="0079146D" w:rsidP="009A7D08">
      <w:pPr>
        <w:spacing w:line="240" w:lineRule="auto"/>
        <w:jc w:val="both"/>
        <w:rPr>
          <w:rFonts w:ascii="Times New Roman" w:hAnsi="Times New Roman"/>
          <w:sz w:val="24"/>
          <w:szCs w:val="24"/>
        </w:rPr>
      </w:pPr>
      <w:r w:rsidRPr="000573C0">
        <w:rPr>
          <w:rFonts w:ascii="Times New Roman" w:hAnsi="Times New Roman"/>
          <w:b/>
          <w:sz w:val="24"/>
          <w:szCs w:val="24"/>
        </w:rPr>
        <w:t>Expected learning aims and outcomes</w:t>
      </w:r>
      <w:r w:rsidRPr="000573C0">
        <w:rPr>
          <w:rFonts w:ascii="Times New Roman" w:hAnsi="Times New Roman"/>
          <w:b/>
          <w:sz w:val="24"/>
          <w:szCs w:val="24"/>
          <w:lang w:val="it-IT"/>
        </w:rPr>
        <w:t>:</w:t>
      </w:r>
      <w:r w:rsidR="009A7D08">
        <w:rPr>
          <w:rFonts w:ascii="Times New Roman" w:hAnsi="Times New Roman"/>
          <w:b/>
          <w:sz w:val="24"/>
          <w:szCs w:val="24"/>
          <w:lang w:val="it-IT"/>
        </w:rPr>
        <w:t xml:space="preserve"> </w:t>
      </w:r>
      <w:r w:rsidRPr="000573C0">
        <w:rPr>
          <w:rFonts w:ascii="Times New Roman" w:hAnsi="Times New Roman"/>
          <w:sz w:val="24"/>
          <w:szCs w:val="24"/>
        </w:rPr>
        <w:t>After completing the course the students will   :</w:t>
      </w:r>
    </w:p>
    <w:p w:rsidR="0079146D" w:rsidRPr="000573C0" w:rsidRDefault="0079146D" w:rsidP="009A7D08">
      <w:pPr>
        <w:pStyle w:val="ListParagraph"/>
        <w:numPr>
          <w:ilvl w:val="0"/>
          <w:numId w:val="1"/>
        </w:numPr>
        <w:tabs>
          <w:tab w:val="left" w:pos="180"/>
        </w:tabs>
        <w:spacing w:after="0" w:line="240" w:lineRule="auto"/>
        <w:jc w:val="both"/>
        <w:rPr>
          <w:rFonts w:ascii="Times New Roman" w:hAnsi="Times New Roman"/>
          <w:sz w:val="24"/>
          <w:szCs w:val="24"/>
        </w:rPr>
      </w:pPr>
      <w:r w:rsidRPr="000573C0">
        <w:rPr>
          <w:rFonts w:ascii="Times New Roman" w:hAnsi="Times New Roman"/>
          <w:sz w:val="24"/>
          <w:szCs w:val="24"/>
        </w:rPr>
        <w:t>Understand the principals of chemical engineering as knowledge required in further courses and employment.</w:t>
      </w:r>
    </w:p>
    <w:p w:rsidR="0079146D" w:rsidRPr="000573C0" w:rsidRDefault="0079146D" w:rsidP="009A7D08">
      <w:pPr>
        <w:pStyle w:val="ListParagraph"/>
        <w:numPr>
          <w:ilvl w:val="0"/>
          <w:numId w:val="1"/>
        </w:numPr>
        <w:tabs>
          <w:tab w:val="left" w:pos="180"/>
        </w:tabs>
        <w:spacing w:after="0" w:line="240" w:lineRule="auto"/>
        <w:jc w:val="both"/>
        <w:rPr>
          <w:rFonts w:ascii="Times New Roman" w:hAnsi="Times New Roman"/>
          <w:sz w:val="24"/>
          <w:szCs w:val="24"/>
        </w:rPr>
      </w:pPr>
      <w:r w:rsidRPr="000573C0">
        <w:rPr>
          <w:rFonts w:ascii="Times New Roman" w:hAnsi="Times New Roman"/>
          <w:sz w:val="24"/>
          <w:szCs w:val="24"/>
        </w:rPr>
        <w:t>Perform basic analysis, synthesis, and qualitative estimation of complete processes of chemical technology. Use the knowledge of chemical engineering to solve practical chemical technology cases.</w:t>
      </w:r>
    </w:p>
    <w:p w:rsidR="0079146D" w:rsidRPr="000573C0" w:rsidRDefault="0079146D" w:rsidP="009A7D08">
      <w:pPr>
        <w:pStyle w:val="ListParagraph"/>
        <w:numPr>
          <w:ilvl w:val="0"/>
          <w:numId w:val="1"/>
        </w:numPr>
        <w:tabs>
          <w:tab w:val="left" w:pos="180"/>
        </w:tabs>
        <w:spacing w:after="0" w:line="240" w:lineRule="auto"/>
        <w:jc w:val="both"/>
        <w:rPr>
          <w:rFonts w:ascii="Times New Roman" w:hAnsi="Times New Roman"/>
          <w:sz w:val="24"/>
          <w:szCs w:val="24"/>
        </w:rPr>
      </w:pPr>
      <w:r w:rsidRPr="000573C0">
        <w:rPr>
          <w:rFonts w:ascii="Times New Roman" w:hAnsi="Times New Roman"/>
          <w:sz w:val="24"/>
          <w:szCs w:val="24"/>
        </w:rPr>
        <w:t xml:space="preserve">Develop skills for analysis and critic evaluation of the technologic scheme or equipment.  </w:t>
      </w:r>
    </w:p>
    <w:p w:rsidR="0079146D" w:rsidRPr="000573C0" w:rsidRDefault="0079146D" w:rsidP="009A7D08">
      <w:pPr>
        <w:pStyle w:val="ListParagraph"/>
        <w:tabs>
          <w:tab w:val="left" w:pos="180"/>
        </w:tabs>
        <w:spacing w:after="0" w:line="240" w:lineRule="auto"/>
        <w:ind w:left="343"/>
        <w:jc w:val="both"/>
        <w:rPr>
          <w:rFonts w:ascii="Times New Roman" w:hAnsi="Times New Roman"/>
          <w:sz w:val="24"/>
          <w:szCs w:val="24"/>
        </w:rPr>
      </w:pPr>
    </w:p>
    <w:p w:rsidR="0079146D" w:rsidRPr="000573C0" w:rsidRDefault="0079146D" w:rsidP="009A7D08">
      <w:pPr>
        <w:spacing w:line="240" w:lineRule="auto"/>
        <w:jc w:val="both"/>
        <w:rPr>
          <w:rFonts w:ascii="Times New Roman" w:hAnsi="Times New Roman"/>
          <w:sz w:val="24"/>
          <w:szCs w:val="24"/>
          <w:lang w:val="it-IT"/>
        </w:rPr>
      </w:pPr>
      <w:r w:rsidRPr="000573C0">
        <w:rPr>
          <w:rFonts w:ascii="Times New Roman" w:hAnsi="Times New Roman"/>
          <w:b/>
          <w:sz w:val="24"/>
          <w:szCs w:val="24"/>
        </w:rPr>
        <w:t>Ratio between the theoretical and practical part of teaching: 3:2</w:t>
      </w:r>
    </w:p>
    <w:p w:rsidR="0079146D" w:rsidRPr="000573C0" w:rsidRDefault="0079146D" w:rsidP="009A7D08">
      <w:pPr>
        <w:spacing w:line="240" w:lineRule="auto"/>
        <w:jc w:val="both"/>
        <w:rPr>
          <w:rFonts w:ascii="Times New Roman" w:hAnsi="Times New Roman"/>
          <w:sz w:val="24"/>
          <w:szCs w:val="24"/>
          <w:lang w:val="it-IT"/>
        </w:rPr>
      </w:pPr>
      <w:r w:rsidRPr="000573C0">
        <w:rPr>
          <w:rFonts w:ascii="Times New Roman" w:hAnsi="Times New Roman"/>
          <w:b/>
          <w:sz w:val="24"/>
          <w:szCs w:val="24"/>
        </w:rPr>
        <w:t>Teaching and learning methods</w:t>
      </w:r>
      <w:r w:rsidRPr="000573C0">
        <w:rPr>
          <w:rFonts w:ascii="Times New Roman" w:hAnsi="Times New Roman"/>
          <w:b/>
          <w:sz w:val="24"/>
          <w:szCs w:val="24"/>
          <w:lang w:val="it-IT"/>
        </w:rPr>
        <w:t xml:space="preserve">: </w:t>
      </w:r>
      <w:r w:rsidRPr="000573C0">
        <w:rPr>
          <w:rFonts w:ascii="Times New Roman" w:hAnsi="Times New Roman"/>
          <w:sz w:val="24"/>
          <w:szCs w:val="24"/>
          <w:lang w:val="it-IT"/>
        </w:rPr>
        <w:t>Lectures, numerical exercises, lab exercises.</w:t>
      </w:r>
    </w:p>
    <w:p w:rsidR="0079146D" w:rsidRPr="000573C0" w:rsidRDefault="0079146D" w:rsidP="009A7D08">
      <w:pPr>
        <w:spacing w:line="240" w:lineRule="auto"/>
        <w:jc w:val="both"/>
        <w:rPr>
          <w:rFonts w:ascii="Times New Roman" w:hAnsi="Times New Roman"/>
          <w:sz w:val="24"/>
          <w:szCs w:val="24"/>
          <w:lang w:val="it-IT"/>
        </w:rPr>
      </w:pPr>
      <w:r w:rsidRPr="000573C0">
        <w:rPr>
          <w:rFonts w:ascii="Times New Roman" w:hAnsi="Times New Roman"/>
          <w:b/>
          <w:sz w:val="24"/>
          <w:szCs w:val="24"/>
        </w:rPr>
        <w:t>Concretization means/ IT:</w:t>
      </w:r>
      <w:r w:rsidRPr="000573C0">
        <w:rPr>
          <w:rFonts w:ascii="Times New Roman" w:hAnsi="Times New Roman"/>
          <w:sz w:val="24"/>
          <w:szCs w:val="24"/>
          <w:lang w:val="it-IT"/>
        </w:rPr>
        <w:t xml:space="preserve"> pencil, table, projector, computer.</w:t>
      </w:r>
    </w:p>
    <w:p w:rsidR="0079146D" w:rsidRPr="005F5D15" w:rsidRDefault="0079146D" w:rsidP="009A7D08">
      <w:pPr>
        <w:spacing w:line="240" w:lineRule="auto"/>
        <w:jc w:val="both"/>
        <w:rPr>
          <w:rFonts w:ascii="Times New Roman" w:hAnsi="Times New Roman"/>
          <w:sz w:val="24"/>
          <w:szCs w:val="24"/>
          <w:lang w:val="it-IT"/>
        </w:rPr>
      </w:pPr>
      <w:r w:rsidRPr="000573C0">
        <w:rPr>
          <w:rFonts w:ascii="Times New Roman" w:hAnsi="Times New Roman"/>
          <w:b/>
          <w:sz w:val="24"/>
          <w:szCs w:val="24"/>
        </w:rPr>
        <w:t>Evaluation methods and passing criteria</w:t>
      </w:r>
      <w:r w:rsidRPr="000573C0">
        <w:rPr>
          <w:rFonts w:ascii="Times New Roman" w:hAnsi="Times New Roman"/>
          <w:b/>
          <w:sz w:val="24"/>
          <w:szCs w:val="24"/>
          <w:lang w:val="it-IT"/>
        </w:rPr>
        <w:t xml:space="preserve">: </w:t>
      </w:r>
      <w:r w:rsidRPr="000573C0">
        <w:rPr>
          <w:rFonts w:ascii="Times New Roman" w:hAnsi="Times New Roman"/>
          <w:sz w:val="24"/>
          <w:szCs w:val="24"/>
          <w:lang w:val="it-IT"/>
        </w:rPr>
        <w:t>The first evaluation: 20%, second evaluation 20%, homework 5%, regular attendance 5%, final exam (wri</w:t>
      </w:r>
      <w:r>
        <w:rPr>
          <w:rFonts w:ascii="Times New Roman" w:hAnsi="Times New Roman"/>
          <w:sz w:val="24"/>
          <w:szCs w:val="24"/>
          <w:lang w:val="it-IT"/>
        </w:rPr>
        <w:t>tten and oral) 50%, total 100%.</w:t>
      </w:r>
    </w:p>
    <w:p w:rsidR="0079146D" w:rsidRPr="000573C0" w:rsidRDefault="0079146D" w:rsidP="009A7D08">
      <w:pPr>
        <w:spacing w:line="240" w:lineRule="auto"/>
        <w:jc w:val="both"/>
        <w:rPr>
          <w:rFonts w:ascii="Times New Roman" w:hAnsi="Times New Roman"/>
          <w:sz w:val="24"/>
          <w:szCs w:val="24"/>
        </w:rPr>
      </w:pPr>
      <w:r w:rsidRPr="000573C0">
        <w:rPr>
          <w:rFonts w:ascii="Times New Roman" w:hAnsi="Times New Roman"/>
          <w:b/>
          <w:sz w:val="24"/>
          <w:szCs w:val="24"/>
        </w:rPr>
        <w:t>Basic Literature</w:t>
      </w:r>
      <w:r w:rsidRPr="000573C0">
        <w:rPr>
          <w:rFonts w:ascii="Times New Roman" w:hAnsi="Times New Roman"/>
          <w:sz w:val="24"/>
          <w:szCs w:val="24"/>
        </w:rPr>
        <w:t xml:space="preserve">: </w:t>
      </w:r>
    </w:p>
    <w:p w:rsidR="009A7D08" w:rsidRDefault="009A7D08" w:rsidP="009A7D08">
      <w:pPr>
        <w:numPr>
          <w:ilvl w:val="0"/>
          <w:numId w:val="2"/>
        </w:numPr>
        <w:spacing w:after="0" w:line="240" w:lineRule="auto"/>
        <w:jc w:val="both"/>
        <w:rPr>
          <w:rFonts w:ascii="Times New Roman" w:hAnsi="Times New Roman"/>
          <w:sz w:val="24"/>
          <w:szCs w:val="24"/>
          <w:lang w:val="en-GB"/>
        </w:rPr>
      </w:pPr>
      <w:r>
        <w:rPr>
          <w:rFonts w:ascii="Times New Roman" w:hAnsi="Times New Roman"/>
          <w:sz w:val="24"/>
          <w:szCs w:val="24"/>
        </w:rPr>
        <w:t>R.</w:t>
      </w:r>
      <w:r>
        <w:rPr>
          <w:rFonts w:ascii="Times New Roman" w:hAnsi="Times New Roman"/>
          <w:sz w:val="24"/>
          <w:szCs w:val="24"/>
        </w:rPr>
        <w:t xml:space="preserve"> </w:t>
      </w:r>
      <w:bookmarkStart w:id="0" w:name="_GoBack"/>
      <w:bookmarkEnd w:id="0"/>
      <w:r>
        <w:rPr>
          <w:rFonts w:ascii="Times New Roman" w:hAnsi="Times New Roman"/>
          <w:sz w:val="24"/>
          <w:szCs w:val="24"/>
        </w:rPr>
        <w:t>M.</w:t>
      </w:r>
      <w:r>
        <w:rPr>
          <w:rFonts w:ascii="Times New Roman" w:hAnsi="Times New Roman"/>
          <w:sz w:val="24"/>
          <w:szCs w:val="24"/>
        </w:rPr>
        <w:t xml:space="preserve"> </w:t>
      </w:r>
      <w:r>
        <w:rPr>
          <w:rFonts w:ascii="Times New Roman" w:hAnsi="Times New Roman"/>
          <w:sz w:val="24"/>
          <w:szCs w:val="24"/>
        </w:rPr>
        <w:t xml:space="preserve">Felder and </w:t>
      </w:r>
      <w:proofErr w:type="spellStart"/>
      <w:r>
        <w:rPr>
          <w:rFonts w:ascii="Times New Roman" w:hAnsi="Times New Roman"/>
          <w:sz w:val="24"/>
          <w:szCs w:val="24"/>
        </w:rPr>
        <w:t>R.W.Rousseau</w:t>
      </w:r>
      <w:proofErr w:type="spellEnd"/>
      <w:r>
        <w:rPr>
          <w:rFonts w:ascii="Times New Roman" w:hAnsi="Times New Roman"/>
          <w:sz w:val="24"/>
          <w:szCs w:val="24"/>
        </w:rPr>
        <w:t>: Elementary Principles of Chemical Processes. John Wiley &amp; Sons, 2005.</w:t>
      </w:r>
    </w:p>
    <w:p w:rsidR="00B741BD" w:rsidRPr="009A7D08" w:rsidRDefault="009A7D08" w:rsidP="009A7D08">
      <w:pPr>
        <w:numPr>
          <w:ilvl w:val="0"/>
          <w:numId w:val="2"/>
        </w:numPr>
        <w:spacing w:after="0" w:line="240" w:lineRule="auto"/>
        <w:jc w:val="both"/>
        <w:rPr>
          <w:rFonts w:ascii="Times New Roman" w:hAnsi="Times New Roman"/>
          <w:sz w:val="24"/>
          <w:szCs w:val="24"/>
          <w:lang w:val="en-GB"/>
        </w:rPr>
      </w:pPr>
      <w:r>
        <w:rPr>
          <w:rFonts w:ascii="Times New Roman" w:hAnsi="Times New Roman"/>
          <w:sz w:val="24"/>
          <w:szCs w:val="24"/>
        </w:rPr>
        <w:t xml:space="preserve">R. K. </w:t>
      </w:r>
      <w:proofErr w:type="spellStart"/>
      <w:r>
        <w:rPr>
          <w:rFonts w:ascii="Times New Roman" w:hAnsi="Times New Roman"/>
          <w:sz w:val="24"/>
          <w:szCs w:val="24"/>
        </w:rPr>
        <w:t>Sinnott</w:t>
      </w:r>
      <w:proofErr w:type="spellEnd"/>
      <w:r>
        <w:rPr>
          <w:rFonts w:ascii="Times New Roman" w:hAnsi="Times New Roman"/>
          <w:sz w:val="24"/>
          <w:szCs w:val="24"/>
        </w:rPr>
        <w:t>, Chemical Engineering Design, Coulson &amp; Richardson’s Chemical Engineering, Volume 6, Fourth edition, Elsevier, 2005.</w:t>
      </w:r>
    </w:p>
    <w:sectPr w:rsidR="00B741BD" w:rsidRPr="009A7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C0AE9"/>
    <w:multiLevelType w:val="hybridMultilevel"/>
    <w:tmpl w:val="62A49612"/>
    <w:lvl w:ilvl="0" w:tplc="FEE64396">
      <w:start w:val="19"/>
      <w:numFmt w:val="bullet"/>
      <w:lvlText w:val="-"/>
      <w:lvlJc w:val="left"/>
      <w:pPr>
        <w:ind w:left="703" w:hanging="360"/>
      </w:pPr>
      <w:rPr>
        <w:rFonts w:ascii="Calibri" w:eastAsia="Times New Roman" w:hAnsi="Calibri" w:cs="Times New Roman" w:hint="default"/>
      </w:rPr>
    </w:lvl>
    <w:lvl w:ilvl="1" w:tplc="041C0003" w:tentative="1">
      <w:start w:val="1"/>
      <w:numFmt w:val="bullet"/>
      <w:lvlText w:val="o"/>
      <w:lvlJc w:val="left"/>
      <w:pPr>
        <w:ind w:left="1423" w:hanging="360"/>
      </w:pPr>
      <w:rPr>
        <w:rFonts w:ascii="Courier New" w:hAnsi="Courier New" w:cs="Courier New" w:hint="default"/>
      </w:rPr>
    </w:lvl>
    <w:lvl w:ilvl="2" w:tplc="041C0005" w:tentative="1">
      <w:start w:val="1"/>
      <w:numFmt w:val="bullet"/>
      <w:lvlText w:val=""/>
      <w:lvlJc w:val="left"/>
      <w:pPr>
        <w:ind w:left="2143" w:hanging="360"/>
      </w:pPr>
      <w:rPr>
        <w:rFonts w:ascii="Wingdings" w:hAnsi="Wingdings" w:hint="default"/>
      </w:rPr>
    </w:lvl>
    <w:lvl w:ilvl="3" w:tplc="041C0001" w:tentative="1">
      <w:start w:val="1"/>
      <w:numFmt w:val="bullet"/>
      <w:lvlText w:val=""/>
      <w:lvlJc w:val="left"/>
      <w:pPr>
        <w:ind w:left="2863" w:hanging="360"/>
      </w:pPr>
      <w:rPr>
        <w:rFonts w:ascii="Symbol" w:hAnsi="Symbol" w:hint="default"/>
      </w:rPr>
    </w:lvl>
    <w:lvl w:ilvl="4" w:tplc="041C0003" w:tentative="1">
      <w:start w:val="1"/>
      <w:numFmt w:val="bullet"/>
      <w:lvlText w:val="o"/>
      <w:lvlJc w:val="left"/>
      <w:pPr>
        <w:ind w:left="3583" w:hanging="360"/>
      </w:pPr>
      <w:rPr>
        <w:rFonts w:ascii="Courier New" w:hAnsi="Courier New" w:cs="Courier New" w:hint="default"/>
      </w:rPr>
    </w:lvl>
    <w:lvl w:ilvl="5" w:tplc="041C0005" w:tentative="1">
      <w:start w:val="1"/>
      <w:numFmt w:val="bullet"/>
      <w:lvlText w:val=""/>
      <w:lvlJc w:val="left"/>
      <w:pPr>
        <w:ind w:left="4303" w:hanging="360"/>
      </w:pPr>
      <w:rPr>
        <w:rFonts w:ascii="Wingdings" w:hAnsi="Wingdings" w:hint="default"/>
      </w:rPr>
    </w:lvl>
    <w:lvl w:ilvl="6" w:tplc="041C0001" w:tentative="1">
      <w:start w:val="1"/>
      <w:numFmt w:val="bullet"/>
      <w:lvlText w:val=""/>
      <w:lvlJc w:val="left"/>
      <w:pPr>
        <w:ind w:left="5023" w:hanging="360"/>
      </w:pPr>
      <w:rPr>
        <w:rFonts w:ascii="Symbol" w:hAnsi="Symbol" w:hint="default"/>
      </w:rPr>
    </w:lvl>
    <w:lvl w:ilvl="7" w:tplc="041C0003" w:tentative="1">
      <w:start w:val="1"/>
      <w:numFmt w:val="bullet"/>
      <w:lvlText w:val="o"/>
      <w:lvlJc w:val="left"/>
      <w:pPr>
        <w:ind w:left="5743" w:hanging="360"/>
      </w:pPr>
      <w:rPr>
        <w:rFonts w:ascii="Courier New" w:hAnsi="Courier New" w:cs="Courier New" w:hint="default"/>
      </w:rPr>
    </w:lvl>
    <w:lvl w:ilvl="8" w:tplc="041C0005" w:tentative="1">
      <w:start w:val="1"/>
      <w:numFmt w:val="bullet"/>
      <w:lvlText w:val=""/>
      <w:lvlJc w:val="left"/>
      <w:pPr>
        <w:ind w:left="6463" w:hanging="360"/>
      </w:pPr>
      <w:rPr>
        <w:rFonts w:ascii="Wingdings" w:hAnsi="Wingdings" w:hint="default"/>
      </w:rPr>
    </w:lvl>
  </w:abstractNum>
  <w:abstractNum w:abstractNumId="1">
    <w:nsid w:val="7C8548D1"/>
    <w:multiLevelType w:val="hybridMultilevel"/>
    <w:tmpl w:val="C2DCEB3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6D"/>
    <w:rsid w:val="000E2FE8"/>
    <w:rsid w:val="0028128B"/>
    <w:rsid w:val="0079146D"/>
    <w:rsid w:val="009A7D08"/>
    <w:rsid w:val="00B7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74D66-9EEE-4F06-86E0-EEEB79D0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46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tertatu ne tab,Colorful List - Accent 12"/>
    <w:basedOn w:val="Normal"/>
    <w:qFormat/>
    <w:rsid w:val="00791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6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2020-01-29T09:51:00Z</dcterms:created>
  <dcterms:modified xsi:type="dcterms:W3CDTF">2020-01-29T09:51:00Z</dcterms:modified>
</cp:coreProperties>
</file>