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75" w:rsidRPr="00470B95" w:rsidRDefault="00660675" w:rsidP="00660675">
      <w:pPr>
        <w:rPr>
          <w:b/>
          <w:sz w:val="28"/>
          <w:szCs w:val="28"/>
          <w:u w:val="single"/>
          <w:lang w:val="sq-AL"/>
        </w:rPr>
      </w:pPr>
      <w:r w:rsidRPr="00470B95">
        <w:rPr>
          <w:b/>
          <w:sz w:val="32"/>
          <w:szCs w:val="32"/>
          <w:u w:val="single"/>
          <w:lang w:val="sq-AL"/>
        </w:rPr>
        <w:t xml:space="preserve">Formular për SYLLABUS të Lëndës </w:t>
      </w:r>
    </w:p>
    <w:p w:rsidR="00660675" w:rsidRPr="00470B95" w:rsidRDefault="00660675" w:rsidP="00660675">
      <w:pPr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4890"/>
      </w:tblGrid>
      <w:tr w:rsidR="00660675" w:rsidRPr="00470B95" w:rsidTr="00CB46A4">
        <w:trPr>
          <w:trHeight w:val="692"/>
        </w:trPr>
        <w:tc>
          <w:tcPr>
            <w:tcW w:w="8630" w:type="dxa"/>
            <w:gridSpan w:val="2"/>
            <w:shd w:val="clear" w:color="auto" w:fill="D9D9D9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>Të dhëna bazike të lëndës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747" w:type="dxa"/>
          </w:tcPr>
          <w:p w:rsidR="00660675" w:rsidRPr="00D37473" w:rsidRDefault="00D37473" w:rsidP="000031E5">
            <w:pPr>
              <w:pStyle w:val="NoSpacing"/>
              <w:rPr>
                <w:szCs w:val="28"/>
                <w:lang w:val="sq-AL"/>
              </w:rPr>
            </w:pPr>
            <w:r w:rsidRPr="00D37473">
              <w:rPr>
                <w:szCs w:val="28"/>
                <w:lang w:val="sq-AL"/>
              </w:rPr>
              <w:t xml:space="preserve">Fakulteti </w:t>
            </w:r>
            <w:r w:rsidR="000031E5">
              <w:rPr>
                <w:szCs w:val="28"/>
                <w:lang w:val="sq-AL"/>
              </w:rPr>
              <w:t>i shkencave matematike - natyrore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747" w:type="dxa"/>
          </w:tcPr>
          <w:p w:rsidR="00660675" w:rsidRPr="00D37473" w:rsidRDefault="000031E5" w:rsidP="0086234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Makroekonomi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4747" w:type="dxa"/>
          </w:tcPr>
          <w:p w:rsidR="00660675" w:rsidRPr="005F5535" w:rsidRDefault="00D37473" w:rsidP="0086234B">
            <w:pPr>
              <w:pStyle w:val="NoSpacing"/>
              <w:rPr>
                <w:szCs w:val="28"/>
                <w:lang w:val="sq-AL"/>
              </w:rPr>
            </w:pPr>
            <w:r w:rsidRPr="005F5535">
              <w:rPr>
                <w:szCs w:val="28"/>
                <w:lang w:val="sq-AL"/>
              </w:rPr>
              <w:t>Bsc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4747" w:type="dxa"/>
          </w:tcPr>
          <w:p w:rsidR="00660675" w:rsidRPr="005F5535" w:rsidRDefault="00115900" w:rsidP="0086234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Obligative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4747" w:type="dxa"/>
          </w:tcPr>
          <w:p w:rsidR="00660675" w:rsidRPr="005F5535" w:rsidRDefault="00422840" w:rsidP="000031E5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I</w:t>
            </w:r>
            <w:r w:rsidR="000031E5">
              <w:rPr>
                <w:szCs w:val="28"/>
                <w:lang w:val="sq-AL"/>
              </w:rPr>
              <w:t>I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747" w:type="dxa"/>
          </w:tcPr>
          <w:p w:rsidR="00660675" w:rsidRPr="005F5535" w:rsidRDefault="00980FC6" w:rsidP="0086234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3 + 2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747" w:type="dxa"/>
          </w:tcPr>
          <w:p w:rsidR="00660675" w:rsidRPr="005F5535" w:rsidRDefault="000031E5" w:rsidP="0086234B">
            <w:pPr>
              <w:pStyle w:val="NoSpacing"/>
              <w:rPr>
                <w:szCs w:val="28"/>
                <w:lang w:val="sq-AL"/>
              </w:rPr>
            </w:pPr>
            <w:r>
              <w:rPr>
                <w:szCs w:val="28"/>
                <w:lang w:val="sq-AL"/>
              </w:rPr>
              <w:t>5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4747" w:type="dxa"/>
          </w:tcPr>
          <w:p w:rsidR="00660675" w:rsidRPr="005F5535" w:rsidRDefault="00660675" w:rsidP="0086234B">
            <w:pPr>
              <w:pStyle w:val="NoSpacing"/>
              <w:rPr>
                <w:szCs w:val="28"/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4747" w:type="dxa"/>
          </w:tcPr>
          <w:p w:rsidR="00660675" w:rsidRPr="005F5535" w:rsidRDefault="00660675" w:rsidP="0086234B">
            <w:pPr>
              <w:pStyle w:val="NoSpacing"/>
              <w:rPr>
                <w:szCs w:val="28"/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szCs w:val="28"/>
                <w:lang w:val="sq-AL"/>
              </w:rPr>
            </w:pPr>
            <w:r w:rsidRPr="00470B95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747" w:type="dxa"/>
          </w:tcPr>
          <w:p w:rsidR="00660675" w:rsidRPr="005F5535" w:rsidRDefault="00660675" w:rsidP="0086234B">
            <w:pPr>
              <w:pStyle w:val="NoSpacing"/>
              <w:rPr>
                <w:szCs w:val="28"/>
                <w:lang w:val="sq-AL"/>
              </w:rPr>
            </w:pPr>
          </w:p>
        </w:tc>
      </w:tr>
      <w:tr w:rsidR="00660675" w:rsidRPr="00470B95" w:rsidTr="00CB46A4">
        <w:tc>
          <w:tcPr>
            <w:tcW w:w="8630" w:type="dxa"/>
            <w:gridSpan w:val="2"/>
            <w:shd w:val="clear" w:color="auto" w:fill="D9D9D9"/>
          </w:tcPr>
          <w:p w:rsidR="00660675" w:rsidRPr="00470B95" w:rsidRDefault="00660675" w:rsidP="0086234B">
            <w:pPr>
              <w:pStyle w:val="NoSpacing"/>
              <w:rPr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  <w:vAlign w:val="center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>Përshkrimi i lëndës</w:t>
            </w:r>
          </w:p>
        </w:tc>
        <w:tc>
          <w:tcPr>
            <w:tcW w:w="4747" w:type="dxa"/>
          </w:tcPr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Kjo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lëndë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ka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për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qëllim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</w:t>
            </w:r>
            <w:r w:rsidR="00C34685">
              <w:rPr>
                <w:sz w:val="22"/>
                <w:szCs w:val="22"/>
              </w:rPr>
              <w:t>’</w:t>
            </w:r>
            <w:r w:rsidRPr="00B65269">
              <w:rPr>
                <w:sz w:val="22"/>
                <w:szCs w:val="22"/>
              </w:rPr>
              <w:t>u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ofrojë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studentëve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5269">
              <w:rPr>
                <w:sz w:val="22"/>
                <w:szCs w:val="22"/>
              </w:rPr>
              <w:t>njohuri</w:t>
            </w:r>
            <w:proofErr w:type="spellEnd"/>
            <w:proofErr w:type="gram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mbi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konceptet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kryesore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makroekon</w:t>
            </w:r>
            <w:r w:rsidR="00C34685">
              <w:rPr>
                <w:sz w:val="22"/>
                <w:szCs w:val="22"/>
              </w:rPr>
              <w:t>omike</w:t>
            </w:r>
            <w:proofErr w:type="spellEnd"/>
            <w:r w:rsidR="00C34685">
              <w:rPr>
                <w:sz w:val="22"/>
                <w:szCs w:val="22"/>
              </w:rPr>
              <w:t xml:space="preserve">, </w:t>
            </w:r>
            <w:proofErr w:type="spellStart"/>
            <w:r w:rsidR="00C34685">
              <w:rPr>
                <w:sz w:val="22"/>
                <w:szCs w:val="22"/>
              </w:rPr>
              <w:t>funksionimin</w:t>
            </w:r>
            <w:proofErr w:type="spellEnd"/>
            <w:r w:rsidR="00C34685">
              <w:rPr>
                <w:sz w:val="22"/>
                <w:szCs w:val="22"/>
              </w:rPr>
              <w:t xml:space="preserve"> e </w:t>
            </w:r>
            <w:proofErr w:type="spellStart"/>
            <w:r w:rsidR="00C34685">
              <w:rPr>
                <w:sz w:val="22"/>
                <w:szCs w:val="22"/>
              </w:rPr>
              <w:t>ekonomisë</w:t>
            </w:r>
            <w:proofErr w:type="spellEnd"/>
            <w:r w:rsidR="00C34685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nacionale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ndërkombëtare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politikat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ekonomike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zbatim</w:t>
            </w:r>
            <w:proofErr w:type="spellEnd"/>
            <w:r w:rsidRPr="00B65269">
              <w:rPr>
                <w:sz w:val="22"/>
                <w:szCs w:val="22"/>
              </w:rPr>
              <w:t xml:space="preserve">. </w:t>
            </w:r>
            <w:proofErr w:type="spellStart"/>
            <w:r w:rsidRPr="00B65269">
              <w:rPr>
                <w:sz w:val="22"/>
                <w:szCs w:val="22"/>
              </w:rPr>
              <w:t>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pjesën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parë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trajtohen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çështjet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bazike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makroekonomisë</w:t>
            </w:r>
            <w:proofErr w:type="spellEnd"/>
            <w:r w:rsidRPr="00B65269">
              <w:rPr>
                <w:sz w:val="22"/>
                <w:szCs w:val="22"/>
              </w:rPr>
              <w:t xml:space="preserve"> duke </w:t>
            </w:r>
            <w:proofErr w:type="spellStart"/>
            <w:r w:rsidRPr="00B65269">
              <w:rPr>
                <w:sz w:val="22"/>
                <w:szCs w:val="22"/>
              </w:rPr>
              <w:t>përfshirë</w:t>
            </w:r>
            <w:proofErr w:type="spellEnd"/>
            <w:r w:rsidR="00C34685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nocionin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r w:rsidR="00C34685">
              <w:rPr>
                <w:sz w:val="22"/>
                <w:szCs w:val="22"/>
              </w:rPr>
              <w:t>e</w:t>
            </w:r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makroekonomisë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ekonominë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kombëtare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fazën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tranzicionit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politikën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zhvillimore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makroekonomike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Kosovë</w:t>
            </w:r>
            <w:proofErr w:type="spellEnd"/>
            <w:r w:rsidRPr="00B65269">
              <w:rPr>
                <w:sz w:val="22"/>
                <w:szCs w:val="22"/>
              </w:rPr>
              <w:t xml:space="preserve"> pas </w:t>
            </w:r>
            <w:proofErr w:type="spellStart"/>
            <w:r w:rsidRPr="00B65269">
              <w:rPr>
                <w:sz w:val="22"/>
                <w:szCs w:val="22"/>
              </w:rPr>
              <w:t>vitit</w:t>
            </w:r>
            <w:proofErr w:type="spellEnd"/>
            <w:r w:rsidRPr="00B65269">
              <w:rPr>
                <w:sz w:val="22"/>
                <w:szCs w:val="22"/>
              </w:rPr>
              <w:t xml:space="preserve"> 1999. </w:t>
            </w:r>
            <w:proofErr w:type="spellStart"/>
            <w:r w:rsidRPr="00B65269">
              <w:rPr>
                <w:sz w:val="22"/>
                <w:szCs w:val="22"/>
              </w:rPr>
              <w:t>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këtë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pjesë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trajtohen</w:t>
            </w:r>
            <w:proofErr w:type="spellEnd"/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edhe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madhësitë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globale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makroekonomike</w:t>
            </w:r>
            <w:proofErr w:type="spellEnd"/>
            <w:r w:rsidRPr="00B65269">
              <w:rPr>
                <w:sz w:val="22"/>
                <w:szCs w:val="22"/>
              </w:rPr>
              <w:t xml:space="preserve">: </w:t>
            </w:r>
            <w:proofErr w:type="spellStart"/>
            <w:r w:rsidRPr="00B65269">
              <w:rPr>
                <w:sz w:val="22"/>
                <w:szCs w:val="22"/>
              </w:rPr>
              <w:t>Bruto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Produkti</w:t>
            </w:r>
            <w:proofErr w:type="spellEnd"/>
            <w:r w:rsidRPr="00B65269">
              <w:rPr>
                <w:sz w:val="22"/>
                <w:szCs w:val="22"/>
              </w:rPr>
              <w:t xml:space="preserve"> Vendor (BPV), </w:t>
            </w:r>
            <w:proofErr w:type="spellStart"/>
            <w:r w:rsidRPr="00B65269">
              <w:rPr>
                <w:sz w:val="22"/>
                <w:szCs w:val="22"/>
              </w:rPr>
              <w:t>Bruto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Produkti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Kombëtar</w:t>
            </w:r>
            <w:proofErr w:type="spellEnd"/>
            <w:r w:rsidRPr="00B65269">
              <w:rPr>
                <w:sz w:val="22"/>
                <w:szCs w:val="22"/>
              </w:rPr>
              <w:t xml:space="preserve"> (BPK), </w:t>
            </w:r>
            <w:proofErr w:type="spellStart"/>
            <w:r w:rsidRPr="00B65269">
              <w:rPr>
                <w:sz w:val="22"/>
                <w:szCs w:val="22"/>
              </w:rPr>
              <w:t>tregu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oferta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kërkesa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agregate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lakorja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ofertës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agregate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kërkesës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5269">
              <w:rPr>
                <w:sz w:val="22"/>
                <w:szCs w:val="22"/>
              </w:rPr>
              <w:t>agregate</w:t>
            </w:r>
            <w:proofErr w:type="spellEnd"/>
            <w:proofErr w:type="gram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ekuilibri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ekonomik</w:t>
            </w:r>
            <w:proofErr w:type="spellEnd"/>
            <w:r w:rsidRPr="00B65269">
              <w:rPr>
                <w:sz w:val="22"/>
                <w:szCs w:val="22"/>
              </w:rPr>
              <w:t>.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Trajtimi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këtyre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temave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mundëson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që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pjesë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tjera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kursit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diskutohen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çështjet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që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kanë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bëjnë</w:t>
            </w:r>
            <w:proofErr w:type="spellEnd"/>
            <w:r w:rsidRPr="00B65269">
              <w:rPr>
                <w:sz w:val="22"/>
                <w:szCs w:val="22"/>
              </w:rPr>
              <w:t xml:space="preserve"> me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inflacionin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deflacionin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llojet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shkaqet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inflacionit</w:t>
            </w:r>
            <w:proofErr w:type="spellEnd"/>
            <w:r w:rsidRPr="00B652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lakorja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Filipsit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Kuptimi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papunësisë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llojet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papunësisë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efektet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papunësisë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5269">
              <w:rPr>
                <w:sz w:val="22"/>
                <w:szCs w:val="22"/>
              </w:rPr>
              <w:t>masat</w:t>
            </w:r>
            <w:proofErr w:type="spellEnd"/>
            <w:proofErr w:type="gram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për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zgjidhjen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papunësisë</w:t>
            </w:r>
            <w:proofErr w:type="spellEnd"/>
            <w:r w:rsidRPr="00B65269">
              <w:rPr>
                <w:sz w:val="22"/>
                <w:szCs w:val="22"/>
              </w:rPr>
              <w:t xml:space="preserve">. </w:t>
            </w:r>
            <w:proofErr w:type="spellStart"/>
            <w:r w:rsidRPr="00B65269">
              <w:rPr>
                <w:sz w:val="22"/>
                <w:szCs w:val="22"/>
              </w:rPr>
              <w:t>Në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këtë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kurs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trajtohet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edhe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paraja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funksionet</w:t>
            </w:r>
            <w:proofErr w:type="spellEnd"/>
            <w:r w:rsidRPr="00B65269">
              <w:rPr>
                <w:sz w:val="22"/>
                <w:szCs w:val="22"/>
              </w:rPr>
              <w:t xml:space="preserve"> e </w:t>
            </w:r>
            <w:proofErr w:type="spellStart"/>
            <w:r w:rsidRPr="00B65269">
              <w:rPr>
                <w:sz w:val="22"/>
                <w:szCs w:val="22"/>
              </w:rPr>
              <w:t>parasë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funksionimi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sistemit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bankar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politika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sistemi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fiskal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buxheti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shtetit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mar</w:t>
            </w:r>
            <w:r>
              <w:rPr>
                <w:sz w:val="22"/>
                <w:szCs w:val="22"/>
              </w:rPr>
              <w:t>re</w:t>
            </w:r>
            <w:r w:rsidRPr="00B65269">
              <w:rPr>
                <w:sz w:val="22"/>
                <w:szCs w:val="22"/>
              </w:rPr>
              <w:t>dhëniet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ekonomike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ndërkombëtare</w:t>
            </w:r>
            <w:proofErr w:type="spellEnd"/>
            <w:r w:rsidRPr="00B65269">
              <w:rPr>
                <w:sz w:val="22"/>
                <w:szCs w:val="22"/>
              </w:rPr>
              <w:t>.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B65269">
              <w:rPr>
                <w:sz w:val="22"/>
                <w:szCs w:val="22"/>
              </w:rPr>
              <w:t>Konsumi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kursimet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investimet</w:t>
            </w:r>
            <w:proofErr w:type="spell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multiplikatori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ku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përfshihet</w:t>
            </w:r>
            <w:proofErr w:type="spellEnd"/>
            <w:r w:rsidRPr="00B65269">
              <w:rPr>
                <w:sz w:val="22"/>
                <w:szCs w:val="22"/>
              </w:rPr>
              <w:t xml:space="preserve">: </w:t>
            </w:r>
            <w:proofErr w:type="spellStart"/>
            <w:r w:rsidRPr="00B65269">
              <w:rPr>
                <w:sz w:val="22"/>
                <w:szCs w:val="22"/>
              </w:rPr>
              <w:t>mul</w:t>
            </w:r>
            <w:r>
              <w:rPr>
                <w:sz w:val="22"/>
                <w:szCs w:val="22"/>
              </w:rPr>
              <w:t>tiplikatori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shpenzimeve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multi</w:t>
            </w:r>
            <w:r w:rsidRPr="00B65269">
              <w:rPr>
                <w:sz w:val="22"/>
                <w:szCs w:val="22"/>
              </w:rPr>
              <w:t>plikatori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politikës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fiskale</w:t>
            </w:r>
            <w:proofErr w:type="spellEnd"/>
            <w:r w:rsidRPr="00B65269">
              <w:rPr>
                <w:sz w:val="22"/>
                <w:szCs w:val="22"/>
              </w:rPr>
              <w:t xml:space="preserve"> (</w:t>
            </w:r>
            <w:proofErr w:type="spellStart"/>
            <w:r w:rsidRPr="00B65269">
              <w:rPr>
                <w:sz w:val="22"/>
                <w:szCs w:val="22"/>
              </w:rPr>
              <w:t>multiplikatori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shpenzimeve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</w:p>
          <w:p w:rsidR="00B65269" w:rsidRPr="00B65269" w:rsidRDefault="00B65269" w:rsidP="00B6526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5269">
              <w:rPr>
                <w:sz w:val="22"/>
                <w:szCs w:val="22"/>
              </w:rPr>
              <w:t>qeveritare</w:t>
            </w:r>
            <w:proofErr w:type="spellEnd"/>
            <w:proofErr w:type="gramEnd"/>
            <w:r w:rsidRPr="00B65269">
              <w:rPr>
                <w:sz w:val="22"/>
                <w:szCs w:val="22"/>
              </w:rPr>
              <w:t xml:space="preserve">, </w:t>
            </w:r>
            <w:proofErr w:type="spellStart"/>
            <w:r w:rsidRPr="00B65269">
              <w:rPr>
                <w:sz w:val="22"/>
                <w:szCs w:val="22"/>
              </w:rPr>
              <w:t>multiplikatori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taksave</w:t>
            </w:r>
            <w:proofErr w:type="spellEnd"/>
            <w:r w:rsidR="00C34685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dhe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multiplikatori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i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ekonomisë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së</w:t>
            </w:r>
            <w:proofErr w:type="spellEnd"/>
            <w:r w:rsidRPr="00B65269">
              <w:rPr>
                <w:sz w:val="22"/>
                <w:szCs w:val="22"/>
              </w:rPr>
              <w:t xml:space="preserve"> </w:t>
            </w:r>
            <w:proofErr w:type="spellStart"/>
            <w:r w:rsidRPr="00B65269">
              <w:rPr>
                <w:sz w:val="22"/>
                <w:szCs w:val="22"/>
              </w:rPr>
              <w:t>hapur</w:t>
            </w:r>
            <w:proofErr w:type="spellEnd"/>
            <w:r w:rsidRPr="00B65269">
              <w:rPr>
                <w:sz w:val="22"/>
                <w:szCs w:val="22"/>
              </w:rPr>
              <w:t>).</w:t>
            </w:r>
          </w:p>
          <w:p w:rsidR="00660675" w:rsidRPr="005F5535" w:rsidRDefault="00660675" w:rsidP="005F5535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  <w:vAlign w:val="center"/>
          </w:tcPr>
          <w:p w:rsidR="004339E6" w:rsidRDefault="004339E6" w:rsidP="0086234B">
            <w:pPr>
              <w:pStyle w:val="NoSpacing"/>
              <w:rPr>
                <w:b/>
                <w:lang w:val="sq-AL"/>
              </w:rPr>
            </w:pPr>
          </w:p>
          <w:p w:rsidR="004339E6" w:rsidRDefault="004339E6" w:rsidP="0086234B">
            <w:pPr>
              <w:pStyle w:val="NoSpacing"/>
              <w:rPr>
                <w:b/>
                <w:lang w:val="sq-AL"/>
              </w:rPr>
            </w:pPr>
          </w:p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>Qëllimet e lëndës:</w:t>
            </w:r>
          </w:p>
        </w:tc>
        <w:tc>
          <w:tcPr>
            <w:tcW w:w="4747" w:type="dxa"/>
          </w:tcPr>
          <w:p w:rsidR="004339E6" w:rsidRDefault="004339E6" w:rsidP="00C34685">
            <w:pPr>
              <w:pStyle w:val="NoSpacing"/>
              <w:jc w:val="both"/>
            </w:pPr>
          </w:p>
          <w:p w:rsidR="00660675" w:rsidRPr="005F5535" w:rsidRDefault="005F5535" w:rsidP="00C34685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proofErr w:type="spellStart"/>
            <w:r w:rsidRPr="00962637">
              <w:lastRenderedPageBreak/>
              <w:t>Përgatitja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dhe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aftësimi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i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studenteve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për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të</w:t>
            </w:r>
            <w:proofErr w:type="spellEnd"/>
            <w:r w:rsidRPr="00962637">
              <w:t xml:space="preserve"> </w:t>
            </w:r>
            <w:proofErr w:type="spellStart"/>
            <w:r w:rsidRPr="00962637">
              <w:t>kuptuar</w:t>
            </w:r>
            <w:proofErr w:type="spellEnd"/>
            <w:r w:rsidRPr="00962637">
              <w:t xml:space="preserve"> </w:t>
            </w:r>
            <w:proofErr w:type="spellStart"/>
            <w:r w:rsidR="00C34685">
              <w:t>makroekonomine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konceptet</w:t>
            </w:r>
            <w:proofErr w:type="spellEnd"/>
            <w:r w:rsidR="00C34685">
              <w:t xml:space="preserve"> </w:t>
            </w:r>
            <w:proofErr w:type="spellStart"/>
            <w:r w:rsidR="00C34685">
              <w:t>kryesore</w:t>
            </w:r>
            <w:proofErr w:type="spellEnd"/>
            <w:r w:rsidR="00C34685">
              <w:t xml:space="preserve"> </w:t>
            </w:r>
            <w:proofErr w:type="spellStart"/>
            <w:r w:rsidR="00C34685">
              <w:t>makroekonomike</w:t>
            </w:r>
            <w:proofErr w:type="spellEnd"/>
            <w:r w:rsidR="00C34685">
              <w:t xml:space="preserve">, </w:t>
            </w:r>
            <w:proofErr w:type="spellStart"/>
            <w:r w:rsidR="00C34685">
              <w:t>objektivat</w:t>
            </w:r>
            <w:proofErr w:type="spellEnd"/>
            <w:r w:rsidR="00C34685">
              <w:t xml:space="preserve"> </w:t>
            </w:r>
            <w:proofErr w:type="spellStart"/>
            <w:r w:rsidR="00C34685">
              <w:t>kryesore</w:t>
            </w:r>
            <w:proofErr w:type="spellEnd"/>
            <w:r w:rsidR="00C34685">
              <w:t xml:space="preserve"> </w:t>
            </w:r>
            <w:proofErr w:type="spellStart"/>
            <w:r w:rsidR="00C34685">
              <w:t>makroekonomike</w:t>
            </w:r>
            <w:proofErr w:type="spellEnd"/>
            <w:r w:rsidR="00C34685">
              <w:t xml:space="preserve">, </w:t>
            </w:r>
            <w:proofErr w:type="spellStart"/>
            <w:r w:rsidR="00C34685">
              <w:t>mjetet</w:t>
            </w:r>
            <w:proofErr w:type="spellEnd"/>
            <w:r w:rsidR="00C34685">
              <w:t xml:space="preserve"> </w:t>
            </w:r>
            <w:proofErr w:type="spellStart"/>
            <w:r w:rsidR="00C34685">
              <w:t>politike</w:t>
            </w:r>
            <w:proofErr w:type="spellEnd"/>
            <w:r w:rsidR="00C34685">
              <w:t xml:space="preserve"> per </w:t>
            </w:r>
            <w:proofErr w:type="spellStart"/>
            <w:r w:rsidR="00C34685">
              <w:t>realizimin</w:t>
            </w:r>
            <w:proofErr w:type="spellEnd"/>
            <w:r w:rsidR="00C34685">
              <w:t xml:space="preserve"> e </w:t>
            </w:r>
            <w:proofErr w:type="spellStart"/>
            <w:r w:rsidR="00C34685">
              <w:t>objektivave</w:t>
            </w:r>
            <w:proofErr w:type="spellEnd"/>
            <w:r w:rsidR="00C34685">
              <w:t xml:space="preserve"> </w:t>
            </w:r>
            <w:proofErr w:type="spellStart"/>
            <w:r w:rsidR="00C34685">
              <w:t>makroekonomike</w:t>
            </w:r>
            <w:proofErr w:type="spellEnd"/>
            <w:r w:rsidR="00C34685">
              <w:t xml:space="preserve">, </w:t>
            </w:r>
            <w:proofErr w:type="spellStart"/>
            <w:r w:rsidR="00C34685">
              <w:t>te</w:t>
            </w:r>
            <w:proofErr w:type="spellEnd"/>
            <w:r w:rsidR="00C34685">
              <w:t xml:space="preserve"> </w:t>
            </w:r>
            <w:proofErr w:type="spellStart"/>
            <w:r w:rsidR="00C34685">
              <w:t>mesoj</w:t>
            </w:r>
            <w:proofErr w:type="spellEnd"/>
            <w:r w:rsidR="00C34685">
              <w:t xml:space="preserve"> student se </w:t>
            </w:r>
            <w:proofErr w:type="spellStart"/>
            <w:r w:rsidR="00C34685">
              <w:t>qfare</w:t>
            </w:r>
            <w:proofErr w:type="spellEnd"/>
            <w:r w:rsidR="00C34685">
              <w:t xml:space="preserve"> </w:t>
            </w:r>
            <w:proofErr w:type="spellStart"/>
            <w:r w:rsidR="00C34685">
              <w:t>eshte</w:t>
            </w:r>
            <w:proofErr w:type="spellEnd"/>
            <w:r w:rsidR="00C34685">
              <w:t xml:space="preserve"> </w:t>
            </w:r>
            <w:proofErr w:type="spellStart"/>
            <w:r w:rsidR="00C34685">
              <w:t>inslacioni</w:t>
            </w:r>
            <w:proofErr w:type="spellEnd"/>
            <w:r w:rsidR="00C34685">
              <w:t xml:space="preserve">, </w:t>
            </w:r>
            <w:proofErr w:type="spellStart"/>
            <w:r w:rsidR="00C34685">
              <w:t>deflacioni</w:t>
            </w:r>
            <w:proofErr w:type="spellEnd"/>
            <w:r w:rsidR="00C34685">
              <w:t xml:space="preserve">, </w:t>
            </w:r>
            <w:proofErr w:type="spellStart"/>
            <w:r w:rsidR="00C34685">
              <w:t>desinsflacioni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lakroja</w:t>
            </w:r>
            <w:proofErr w:type="spellEnd"/>
            <w:r w:rsidR="00C34685">
              <w:t xml:space="preserve"> e </w:t>
            </w:r>
            <w:proofErr w:type="spellStart"/>
            <w:r w:rsidR="00C34685">
              <w:t>Philipsit</w:t>
            </w:r>
            <w:proofErr w:type="spellEnd"/>
            <w:r w:rsidR="00C34685">
              <w:t xml:space="preserve">. </w:t>
            </w:r>
            <w:proofErr w:type="spellStart"/>
            <w:r w:rsidR="00C34685">
              <w:t>Poashtu</w:t>
            </w:r>
            <w:proofErr w:type="spellEnd"/>
            <w:r w:rsidR="00C34685">
              <w:t xml:space="preserve">, student </w:t>
            </w:r>
            <w:proofErr w:type="spellStart"/>
            <w:r w:rsidR="00C34685">
              <w:t>duhet</w:t>
            </w:r>
            <w:proofErr w:type="spellEnd"/>
            <w:r w:rsidR="00C34685">
              <w:t xml:space="preserve"> </w:t>
            </w:r>
            <w:proofErr w:type="spellStart"/>
            <w:r w:rsidR="00C34685">
              <w:t>te</w:t>
            </w:r>
            <w:proofErr w:type="spellEnd"/>
            <w:r w:rsidR="00C34685">
              <w:t xml:space="preserve"> </w:t>
            </w:r>
            <w:proofErr w:type="spellStart"/>
            <w:r w:rsidR="00C34685">
              <w:t>mesoj</w:t>
            </w:r>
            <w:proofErr w:type="spellEnd"/>
            <w:r w:rsidR="00C34685">
              <w:t xml:space="preserve"> per GDP e GNP </w:t>
            </w:r>
            <w:proofErr w:type="spellStart"/>
            <w:r w:rsidR="00C34685">
              <w:t>si</w:t>
            </w:r>
            <w:proofErr w:type="spellEnd"/>
            <w:r w:rsidR="00C34685">
              <w:t xml:space="preserve"> </w:t>
            </w:r>
            <w:proofErr w:type="spellStart"/>
            <w:r w:rsidR="00C34685">
              <w:t>dy</w:t>
            </w:r>
            <w:proofErr w:type="spellEnd"/>
            <w:r w:rsidR="00C34685">
              <w:t xml:space="preserve"> </w:t>
            </w:r>
            <w:proofErr w:type="spellStart"/>
            <w:r w:rsidR="00C34685">
              <w:t>koncepte</w:t>
            </w:r>
            <w:proofErr w:type="spellEnd"/>
            <w:r w:rsidR="00C34685">
              <w:t xml:space="preserve"> </w:t>
            </w:r>
            <w:proofErr w:type="spellStart"/>
            <w:r w:rsidR="00C34685">
              <w:t>kryesore</w:t>
            </w:r>
            <w:proofErr w:type="spellEnd"/>
            <w:r w:rsidR="00C34685">
              <w:t xml:space="preserve"> </w:t>
            </w:r>
            <w:proofErr w:type="spellStart"/>
            <w:r w:rsidR="00C34685">
              <w:t>makroekonomike</w:t>
            </w:r>
            <w:proofErr w:type="spellEnd"/>
            <w:r w:rsidR="00C34685">
              <w:t xml:space="preserve">, </w:t>
            </w:r>
            <w:proofErr w:type="spellStart"/>
            <w:r w:rsidR="00C34685">
              <w:t>Papunesine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llojet</w:t>
            </w:r>
            <w:proofErr w:type="spellEnd"/>
            <w:r w:rsidR="00C34685">
              <w:t xml:space="preserve"> e </w:t>
            </w:r>
            <w:proofErr w:type="spellStart"/>
            <w:r w:rsidR="00C34685">
              <w:t>papunesise</w:t>
            </w:r>
            <w:proofErr w:type="spellEnd"/>
            <w:r w:rsidR="00C34685">
              <w:t xml:space="preserve"> </w:t>
            </w:r>
            <w:proofErr w:type="spellStart"/>
            <w:r w:rsidR="00C34685">
              <w:t>si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politikat</w:t>
            </w:r>
            <w:proofErr w:type="spellEnd"/>
            <w:r w:rsidR="00C34685">
              <w:t xml:space="preserve"> </w:t>
            </w:r>
            <w:proofErr w:type="spellStart"/>
            <w:r w:rsidR="00C34685">
              <w:t>sociale</w:t>
            </w:r>
            <w:proofErr w:type="spellEnd"/>
            <w:r w:rsidR="00C34685">
              <w:t xml:space="preserve">, </w:t>
            </w:r>
            <w:proofErr w:type="spellStart"/>
            <w:r w:rsidR="00C34685">
              <w:t>te</w:t>
            </w:r>
            <w:proofErr w:type="spellEnd"/>
            <w:r w:rsidR="00C34685">
              <w:t xml:space="preserve"> </w:t>
            </w:r>
            <w:proofErr w:type="spellStart"/>
            <w:r w:rsidR="00C34685">
              <w:t>dije</w:t>
            </w:r>
            <w:proofErr w:type="spellEnd"/>
            <w:r w:rsidR="00C34685">
              <w:t xml:space="preserve"> se </w:t>
            </w:r>
            <w:proofErr w:type="spellStart"/>
            <w:r w:rsidR="00C34685">
              <w:t>si</w:t>
            </w:r>
            <w:proofErr w:type="spellEnd"/>
            <w:r w:rsidR="00C34685">
              <w:t xml:space="preserve"> </w:t>
            </w:r>
            <w:proofErr w:type="spellStart"/>
            <w:r w:rsidR="00C34685">
              <w:t>hartohen</w:t>
            </w:r>
            <w:proofErr w:type="spellEnd"/>
            <w:r w:rsidR="00C34685">
              <w:t xml:space="preserve"> </w:t>
            </w:r>
            <w:proofErr w:type="spellStart"/>
            <w:r w:rsidR="00C34685">
              <w:t>politikat</w:t>
            </w:r>
            <w:proofErr w:type="spellEnd"/>
            <w:r w:rsidR="00C34685">
              <w:t xml:space="preserve"> </w:t>
            </w:r>
            <w:proofErr w:type="spellStart"/>
            <w:r w:rsidR="00C34685">
              <w:t>monetare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ato</w:t>
            </w:r>
            <w:proofErr w:type="spellEnd"/>
            <w:r w:rsidR="00C34685">
              <w:t xml:space="preserve"> </w:t>
            </w:r>
            <w:proofErr w:type="spellStart"/>
            <w:r w:rsidR="00C34685">
              <w:t>fiskale</w:t>
            </w:r>
            <w:proofErr w:type="spellEnd"/>
            <w:r w:rsidR="00C34685">
              <w:t xml:space="preserve">, Banka </w:t>
            </w:r>
            <w:proofErr w:type="spellStart"/>
            <w:proofErr w:type="gramStart"/>
            <w:r w:rsidR="00C34685">
              <w:t>Qndrore</w:t>
            </w:r>
            <w:proofErr w:type="spellEnd"/>
            <w:r w:rsidR="00C34685">
              <w:t xml:space="preserve">  </w:t>
            </w:r>
            <w:proofErr w:type="spellStart"/>
            <w:r w:rsidR="00C34685">
              <w:t>dhe</w:t>
            </w:r>
            <w:proofErr w:type="spellEnd"/>
            <w:proofErr w:type="gramEnd"/>
            <w:r w:rsidR="00C34685">
              <w:t xml:space="preserve"> </w:t>
            </w:r>
            <w:proofErr w:type="spellStart"/>
            <w:r w:rsidR="00C34685">
              <w:t>roli</w:t>
            </w:r>
            <w:proofErr w:type="spellEnd"/>
            <w:r w:rsidR="00C34685">
              <w:t xml:space="preserve"> I </w:t>
            </w:r>
            <w:proofErr w:type="spellStart"/>
            <w:r w:rsidR="00C34685">
              <w:t>saj</w:t>
            </w:r>
            <w:proofErr w:type="spellEnd"/>
            <w:r w:rsidR="00C34685">
              <w:t xml:space="preserve"> ne </w:t>
            </w:r>
            <w:proofErr w:type="spellStart"/>
            <w:r w:rsidR="00C34685">
              <w:t>ekonomi</w:t>
            </w:r>
            <w:proofErr w:type="spellEnd"/>
            <w:r w:rsidR="00C34685">
              <w:t xml:space="preserve">, </w:t>
            </w:r>
            <w:proofErr w:type="spellStart"/>
            <w:r w:rsidR="00C34685">
              <w:t>Paraja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funksionet</w:t>
            </w:r>
            <w:proofErr w:type="spellEnd"/>
            <w:r w:rsidR="00C34685">
              <w:t xml:space="preserve"> e </w:t>
            </w:r>
            <w:proofErr w:type="spellStart"/>
            <w:r w:rsidR="00C34685">
              <w:t>parase</w:t>
            </w:r>
            <w:proofErr w:type="spellEnd"/>
            <w:r w:rsidR="00C34685">
              <w:t xml:space="preserve">, </w:t>
            </w:r>
            <w:proofErr w:type="spellStart"/>
            <w:r w:rsidR="00C34685">
              <w:t>Multiplikatoret</w:t>
            </w:r>
            <w:proofErr w:type="spellEnd"/>
            <w:r w:rsidR="00C34685">
              <w:t xml:space="preserve"> </w:t>
            </w:r>
            <w:proofErr w:type="spellStart"/>
            <w:r w:rsidR="00C34685">
              <w:t>ekonomike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llojet</w:t>
            </w:r>
            <w:proofErr w:type="spellEnd"/>
            <w:r w:rsidR="00C34685">
              <w:t xml:space="preserve"> e </w:t>
            </w:r>
            <w:proofErr w:type="spellStart"/>
            <w:r w:rsidR="00C34685">
              <w:t>tyre</w:t>
            </w:r>
            <w:proofErr w:type="spellEnd"/>
            <w:r w:rsidR="00C34685">
              <w:t xml:space="preserve">, </w:t>
            </w:r>
            <w:proofErr w:type="spellStart"/>
            <w:r w:rsidR="00C34685">
              <w:t>si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per </w:t>
            </w:r>
            <w:proofErr w:type="spellStart"/>
            <w:r w:rsidR="00C34685">
              <w:t>marredhenjet</w:t>
            </w:r>
            <w:proofErr w:type="spellEnd"/>
            <w:r w:rsidR="00C34685">
              <w:t xml:space="preserve"> </w:t>
            </w:r>
            <w:proofErr w:type="spellStart"/>
            <w:r w:rsidR="00C34685">
              <w:t>ekonomike</w:t>
            </w:r>
            <w:proofErr w:type="spellEnd"/>
            <w:r w:rsidR="00C34685">
              <w:t xml:space="preserve"> </w:t>
            </w:r>
            <w:proofErr w:type="spellStart"/>
            <w:r w:rsidR="00C34685">
              <w:t>nderkombetare</w:t>
            </w:r>
            <w:proofErr w:type="spellEnd"/>
            <w:r w:rsidR="00C34685">
              <w:t xml:space="preserve"> </w:t>
            </w:r>
            <w:proofErr w:type="spellStart"/>
            <w:r w:rsidR="00C34685">
              <w:t>dhe</w:t>
            </w:r>
            <w:proofErr w:type="spellEnd"/>
            <w:r w:rsidR="00C34685">
              <w:t xml:space="preserve"> </w:t>
            </w:r>
            <w:proofErr w:type="spellStart"/>
            <w:r w:rsidR="00C34685">
              <w:t>tendencat</w:t>
            </w:r>
            <w:proofErr w:type="spellEnd"/>
            <w:r w:rsidR="00C34685">
              <w:t xml:space="preserve"> e </w:t>
            </w:r>
            <w:proofErr w:type="spellStart"/>
            <w:r w:rsidR="00C34685">
              <w:t>te</w:t>
            </w:r>
            <w:proofErr w:type="spellEnd"/>
            <w:r w:rsidR="00C34685">
              <w:t xml:space="preserve"> </w:t>
            </w:r>
            <w:proofErr w:type="spellStart"/>
            <w:r w:rsidR="00C34685">
              <w:t>gjitha</w:t>
            </w:r>
            <w:proofErr w:type="spellEnd"/>
            <w:r w:rsidR="00C34685">
              <w:t xml:space="preserve"> </w:t>
            </w:r>
            <w:proofErr w:type="spellStart"/>
            <w:r w:rsidR="00C34685">
              <w:t>ekonomive</w:t>
            </w:r>
            <w:proofErr w:type="spellEnd"/>
            <w:r w:rsidR="00C34685">
              <w:t xml:space="preserve"> per </w:t>
            </w:r>
            <w:proofErr w:type="spellStart"/>
            <w:r w:rsidR="00C34685">
              <w:t>te</w:t>
            </w:r>
            <w:proofErr w:type="spellEnd"/>
            <w:r w:rsidR="00C34685">
              <w:t xml:space="preserve"> </w:t>
            </w:r>
            <w:proofErr w:type="spellStart"/>
            <w:r w:rsidR="00C34685">
              <w:t>qene</w:t>
            </w:r>
            <w:proofErr w:type="spellEnd"/>
            <w:r w:rsidR="00C34685">
              <w:t xml:space="preserve"> </w:t>
            </w:r>
            <w:proofErr w:type="spellStart"/>
            <w:r w:rsidR="00C34685">
              <w:t>pjese</w:t>
            </w:r>
            <w:proofErr w:type="spellEnd"/>
            <w:r w:rsidR="00C34685">
              <w:t xml:space="preserve"> </w:t>
            </w:r>
            <w:proofErr w:type="spellStart"/>
            <w:r w:rsidR="00C34685">
              <w:t>integrale</w:t>
            </w:r>
            <w:proofErr w:type="spellEnd"/>
            <w:r w:rsidR="00C34685">
              <w:t xml:space="preserve"> e </w:t>
            </w:r>
            <w:proofErr w:type="spellStart"/>
            <w:r w:rsidR="00C34685">
              <w:t>ekonomise</w:t>
            </w:r>
            <w:proofErr w:type="spellEnd"/>
            <w:r w:rsidR="00C34685">
              <w:t xml:space="preserve"> </w:t>
            </w:r>
            <w:proofErr w:type="spellStart"/>
            <w:r w:rsidR="00C34685">
              <w:t>globale</w:t>
            </w:r>
            <w:proofErr w:type="spellEnd"/>
            <w:r w:rsidR="00C34685">
              <w:t>…</w:t>
            </w:r>
          </w:p>
        </w:tc>
      </w:tr>
      <w:tr w:rsidR="00660675" w:rsidRPr="00470B95" w:rsidTr="00CB46A4">
        <w:tc>
          <w:tcPr>
            <w:tcW w:w="3883" w:type="dxa"/>
            <w:vAlign w:val="center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lastRenderedPageBreak/>
              <w:t>Rezultatet e pritura të nxënies:</w:t>
            </w:r>
          </w:p>
        </w:tc>
        <w:tc>
          <w:tcPr>
            <w:tcW w:w="4747" w:type="dxa"/>
          </w:tcPr>
          <w:p w:rsidR="004339E6" w:rsidRDefault="00C34685" w:rsidP="00C34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C34685">
              <w:t xml:space="preserve">Pas </w:t>
            </w:r>
            <w:proofErr w:type="spellStart"/>
            <w:r w:rsidRPr="00C34685">
              <w:t>përfundimit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këtij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kursi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studentët</w:t>
            </w:r>
            <w:proofErr w:type="spellEnd"/>
            <w:r w:rsidRPr="00C34685">
              <w:t xml:space="preserve"> do </w:t>
            </w:r>
            <w:proofErr w:type="spellStart"/>
            <w:r w:rsidRPr="00C34685">
              <w:t>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jetë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gjendje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të</w:t>
            </w:r>
            <w:proofErr w:type="spellEnd"/>
            <w:r w:rsidRPr="00C34685">
              <w:t>:</w:t>
            </w:r>
            <w:r w:rsidR="004339E6">
              <w:t xml:space="preserve"> </w:t>
            </w:r>
          </w:p>
          <w:p w:rsidR="00C34685" w:rsidRPr="00C34685" w:rsidRDefault="00C34685" w:rsidP="004339E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34685">
              <w:t>Vështrojnë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analizojnë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politikat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zhvillimore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</w:t>
            </w:r>
            <w:r w:rsidR="004339E6">
              <w:t>he</w:t>
            </w:r>
            <w:proofErr w:type="spellEnd"/>
            <w:r w:rsidR="004339E6">
              <w:t xml:space="preserve"> </w:t>
            </w:r>
            <w:proofErr w:type="spellStart"/>
            <w:r w:rsidR="004339E6">
              <w:t>ecuritë</w:t>
            </w:r>
            <w:proofErr w:type="spellEnd"/>
            <w:r w:rsidR="004339E6">
              <w:t xml:space="preserve"> </w:t>
            </w:r>
            <w:proofErr w:type="spellStart"/>
            <w:r w:rsidR="004339E6">
              <w:t>konkrete</w:t>
            </w:r>
            <w:proofErr w:type="spellEnd"/>
            <w:r w:rsidR="004339E6">
              <w:t xml:space="preserve"> </w:t>
            </w:r>
            <w:proofErr w:type="spellStart"/>
            <w:r w:rsidR="004339E6">
              <w:t>ekonomike</w:t>
            </w:r>
            <w:proofErr w:type="spellEnd"/>
            <w:r w:rsidR="004339E6">
              <w:t>.</w:t>
            </w:r>
          </w:p>
          <w:p w:rsidR="00C34685" w:rsidRPr="00C34685" w:rsidRDefault="00C34685" w:rsidP="004339E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34685">
              <w:t>Dijë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t’i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shqyrtojë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analizojë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treguesit</w:t>
            </w:r>
            <w:proofErr w:type="spellEnd"/>
            <w:r w:rsidRPr="00C34685">
              <w:t xml:space="preserve"> global </w:t>
            </w:r>
            <w:proofErr w:type="spellStart"/>
            <w:r w:rsidRPr="00C34685">
              <w:t>makroekonomik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si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indikatorët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më</w:t>
            </w:r>
            <w:proofErr w:type="spellEnd"/>
            <w:r w:rsidRPr="00C34685">
              <w:t xml:space="preserve"> relevant </w:t>
            </w:r>
            <w:proofErr w:type="spellStart"/>
            <w:r w:rsidRPr="00C34685">
              <w:t>që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shprehin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nivelin</w:t>
            </w:r>
            <w:proofErr w:type="spellEnd"/>
            <w:r w:rsidRPr="00C34685">
              <w:t xml:space="preserve"> e </w:t>
            </w:r>
            <w:proofErr w:type="spellStart"/>
            <w:r w:rsidRPr="00C34685">
              <w:t>zhvillimit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ekonomik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nivel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ekonomisë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kombëtare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ndërkombëtare</w:t>
            </w:r>
            <w:proofErr w:type="spellEnd"/>
            <w:r w:rsidRPr="00C34685">
              <w:t>;</w:t>
            </w:r>
          </w:p>
          <w:p w:rsidR="00C34685" w:rsidRPr="00C34685" w:rsidRDefault="00C34685" w:rsidP="004339E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34685">
              <w:t>Kuptojë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postulatet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kryesore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ekonomisë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tregut</w:t>
            </w:r>
            <w:proofErr w:type="spellEnd"/>
            <w:r w:rsidRPr="00C34685">
              <w:t xml:space="preserve">, </w:t>
            </w:r>
            <w:proofErr w:type="spellStart"/>
            <w:r w:rsidRPr="00C34685">
              <w:t>ofertën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kërkesën</w:t>
            </w:r>
            <w:proofErr w:type="spellEnd"/>
            <w:r w:rsidRPr="00C34685">
              <w:t xml:space="preserve">, </w:t>
            </w:r>
            <w:proofErr w:type="spellStart"/>
            <w:r w:rsidRPr="00C34685">
              <w:t>si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ndikimin</w:t>
            </w:r>
            <w:proofErr w:type="spellEnd"/>
            <w:r w:rsidRPr="00C34685">
              <w:t xml:space="preserve"> e </w:t>
            </w:r>
            <w:proofErr w:type="spellStart"/>
            <w:r w:rsidRPr="00C34685">
              <w:t>tyre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afarizmin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rrjedhat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ekonomik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shkallë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vendi</w:t>
            </w:r>
            <w:proofErr w:type="spellEnd"/>
            <w:r w:rsidRPr="00C34685">
              <w:t>;</w:t>
            </w:r>
          </w:p>
          <w:p w:rsidR="00C34685" w:rsidRPr="00C34685" w:rsidRDefault="00C34685" w:rsidP="004339E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34685">
              <w:t>Kuptojnë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peshën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ekonomike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sociale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papunësisë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marrjen</w:t>
            </w:r>
            <w:proofErr w:type="spellEnd"/>
            <w:r w:rsidRPr="00C34685">
              <w:t xml:space="preserve"> e </w:t>
            </w:r>
            <w:proofErr w:type="spellStart"/>
            <w:r w:rsidRPr="00C34685">
              <w:t>masave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konkrete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për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zgjedhjen</w:t>
            </w:r>
            <w:proofErr w:type="spellEnd"/>
            <w:r w:rsidRPr="00C34685">
              <w:t xml:space="preserve"> e </w:t>
            </w:r>
            <w:proofErr w:type="spellStart"/>
            <w:r w:rsidRPr="00C34685">
              <w:t>saj</w:t>
            </w:r>
            <w:proofErr w:type="spellEnd"/>
            <w:r w:rsidRPr="00C34685">
              <w:t>.</w:t>
            </w:r>
          </w:p>
          <w:p w:rsidR="00C34685" w:rsidRDefault="00C34685" w:rsidP="004339E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34685">
              <w:t>Kuptojnë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veprimin</w:t>
            </w:r>
            <w:proofErr w:type="spellEnd"/>
            <w:r w:rsidRPr="00C34685">
              <w:t xml:space="preserve"> e </w:t>
            </w:r>
            <w:proofErr w:type="spellStart"/>
            <w:r w:rsidRPr="00C34685">
              <w:t>inflacionit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rrjedhat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ekonomike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në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standardin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jetësor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të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popullsisë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dhe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masat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për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evitimin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apo</w:t>
            </w:r>
            <w:proofErr w:type="spellEnd"/>
            <w:r w:rsidRPr="00C34685">
              <w:t xml:space="preserve"> </w:t>
            </w:r>
            <w:proofErr w:type="spellStart"/>
            <w:r w:rsidRPr="00C34685">
              <w:t>zbutjen</w:t>
            </w:r>
            <w:proofErr w:type="spellEnd"/>
            <w:r w:rsidRPr="00C34685">
              <w:t xml:space="preserve"> </w:t>
            </w:r>
            <w:r w:rsidR="004339E6">
              <w:t xml:space="preserve">e </w:t>
            </w:r>
            <w:proofErr w:type="spellStart"/>
            <w:r w:rsidR="004339E6">
              <w:t>tij</w:t>
            </w:r>
            <w:proofErr w:type="spellEnd"/>
            <w:r w:rsidR="004339E6">
              <w:t>.</w:t>
            </w:r>
          </w:p>
          <w:p w:rsidR="005C611B" w:rsidRDefault="004339E6" w:rsidP="004339E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4339E6">
              <w:t>Dijë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të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zbatojë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politikën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fiskale</w:t>
            </w:r>
            <w:proofErr w:type="spellEnd"/>
            <w:r w:rsidRPr="004339E6">
              <w:t xml:space="preserve">, </w:t>
            </w:r>
            <w:proofErr w:type="spellStart"/>
            <w:r w:rsidRPr="004339E6">
              <w:t>politikën</w:t>
            </w:r>
            <w:proofErr w:type="spellEnd"/>
          </w:p>
          <w:p w:rsidR="00660675" w:rsidRPr="004339E6" w:rsidRDefault="004339E6" w:rsidP="005C611B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339E6">
              <w:t>Monetare</w:t>
            </w:r>
            <w:proofErr w:type="spellEnd"/>
            <w:r>
              <w:t xml:space="preserve"> - </w:t>
            </w:r>
            <w:proofErr w:type="spellStart"/>
            <w:r w:rsidRPr="004339E6">
              <w:t>kreditore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dhe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politikën</w:t>
            </w:r>
            <w:proofErr w:type="spellEnd"/>
            <w:r w:rsidRPr="004339E6">
              <w:t xml:space="preserve"> e </w:t>
            </w:r>
            <w:proofErr w:type="spellStart"/>
            <w:r w:rsidRPr="004339E6">
              <w:t>tregtisë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së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jashtme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në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funksion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të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zhvillimit</w:t>
            </w:r>
            <w:proofErr w:type="spellEnd"/>
            <w:r w:rsidRPr="004339E6">
              <w:t xml:space="preserve"> </w:t>
            </w:r>
            <w:proofErr w:type="spellStart"/>
            <w:r w:rsidRPr="004339E6">
              <w:t>ekonomik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vendit</w:t>
            </w:r>
            <w:proofErr w:type="spellEnd"/>
            <w:r>
              <w:t xml:space="preserve">. </w:t>
            </w:r>
            <w:r w:rsidRPr="004339E6">
              <w:t xml:space="preserve"> </w:t>
            </w:r>
          </w:p>
        </w:tc>
      </w:tr>
      <w:tr w:rsidR="00660675" w:rsidRPr="00470B95" w:rsidTr="00CB46A4">
        <w:tc>
          <w:tcPr>
            <w:tcW w:w="8630" w:type="dxa"/>
            <w:gridSpan w:val="2"/>
            <w:shd w:val="clear" w:color="auto" w:fill="D9D9D9"/>
          </w:tcPr>
          <w:p w:rsidR="00660675" w:rsidRPr="00470B95" w:rsidRDefault="00660675" w:rsidP="0086234B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660675" w:rsidRPr="00470B95" w:rsidTr="00CB46A4">
        <w:tc>
          <w:tcPr>
            <w:tcW w:w="8630" w:type="dxa"/>
            <w:gridSpan w:val="2"/>
            <w:shd w:val="clear" w:color="auto" w:fill="auto"/>
          </w:tcPr>
          <w:p w:rsidR="00F009A7" w:rsidRDefault="00F009A7" w:rsidP="0086234B">
            <w:pPr>
              <w:pStyle w:val="NoSpacing"/>
              <w:jc w:val="center"/>
              <w:rPr>
                <w:b/>
                <w:lang w:val="sq-AL"/>
              </w:rPr>
            </w:pPr>
          </w:p>
          <w:p w:rsidR="00F009A7" w:rsidRDefault="00F009A7" w:rsidP="0086234B">
            <w:pPr>
              <w:pStyle w:val="NoSpacing"/>
              <w:jc w:val="center"/>
              <w:rPr>
                <w:b/>
                <w:lang w:val="sq-AL"/>
              </w:rPr>
            </w:pPr>
          </w:p>
          <w:p w:rsidR="00660675" w:rsidRPr="00470B95" w:rsidRDefault="00660675" w:rsidP="0086234B">
            <w:pPr>
              <w:pStyle w:val="NoSpacing"/>
              <w:jc w:val="center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lastRenderedPageBreak/>
              <w:t>Kontributi nё ngarkesën e studentit ( gjë që duhet tё korrespondoj me rezultatet e tё nxënit tё studentit)</w:t>
            </w:r>
          </w:p>
        </w:tc>
      </w:tr>
      <w:tr w:rsidR="00CB46A4" w:rsidRPr="00470B95" w:rsidTr="00CB46A4">
        <w:tc>
          <w:tcPr>
            <w:tcW w:w="8630" w:type="dxa"/>
            <w:gridSpan w:val="2"/>
            <w:shd w:val="clear" w:color="auto" w:fill="auto"/>
          </w:tcPr>
          <w:tbl>
            <w:tblPr>
              <w:tblStyle w:val="TableGrid"/>
              <w:tblW w:w="8522" w:type="dxa"/>
              <w:tblLook w:val="04A0" w:firstRow="1" w:lastRow="0" w:firstColumn="1" w:lastColumn="0" w:noHBand="0" w:noVBand="1"/>
            </w:tblPr>
            <w:tblGrid>
              <w:gridCol w:w="2910"/>
              <w:gridCol w:w="1814"/>
              <w:gridCol w:w="1815"/>
              <w:gridCol w:w="1983"/>
            </w:tblGrid>
            <w:tr w:rsidR="00CB46A4" w:rsidTr="00CB46A4">
              <w:tc>
                <w:tcPr>
                  <w:tcW w:w="8522" w:type="dxa"/>
                  <w:gridSpan w:val="4"/>
                </w:tcPr>
                <w:p w:rsidR="00CB46A4" w:rsidRDefault="00CB46A4" w:rsidP="00CB46A4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lastRenderedPageBreak/>
                    <w:t>Kontributi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nё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ngarkesën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studentit</w:t>
                  </w:r>
                  <w:proofErr w:type="spellEnd"/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9B32B3" w:rsidRDefault="00CB46A4" w:rsidP="00CB46A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Aktiviteti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CB46A4" w:rsidRPr="009B32B3" w:rsidRDefault="00CB46A4" w:rsidP="00CB46A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Orë</w:t>
                  </w:r>
                  <w:proofErr w:type="spellEnd"/>
                </w:p>
              </w:tc>
              <w:tc>
                <w:tcPr>
                  <w:tcW w:w="1815" w:type="dxa"/>
                </w:tcPr>
                <w:p w:rsidR="00CB46A4" w:rsidRPr="009B32B3" w:rsidRDefault="00CB46A4" w:rsidP="00CB46A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Ditë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javë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983" w:type="dxa"/>
                </w:tcPr>
                <w:p w:rsidR="00CB46A4" w:rsidRPr="009B32B3" w:rsidRDefault="00CB46A4" w:rsidP="00CB46A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Gjithsej</w:t>
                  </w:r>
                  <w:proofErr w:type="spellEnd"/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257B64" w:rsidRDefault="00CB46A4" w:rsidP="00CB46A4">
                  <w:pPr>
                    <w:spacing w:line="0" w:lineRule="atLeast"/>
                  </w:pPr>
                  <w:proofErr w:type="spellStart"/>
                  <w:r w:rsidRPr="00257B64">
                    <w:t>Ligjërata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CB46A4" w:rsidRPr="00257B64" w:rsidRDefault="00CB46A4" w:rsidP="00CB46A4">
                  <w:r w:rsidRPr="00257B64">
                    <w:t>3</w:t>
                  </w:r>
                </w:p>
              </w:tc>
              <w:tc>
                <w:tcPr>
                  <w:tcW w:w="1815" w:type="dxa"/>
                </w:tcPr>
                <w:p w:rsidR="00CB46A4" w:rsidRPr="00257B64" w:rsidRDefault="00CB46A4" w:rsidP="00CB46A4">
                  <w:r w:rsidRPr="00257B64">
                    <w:t>15</w:t>
                  </w:r>
                </w:p>
              </w:tc>
              <w:tc>
                <w:tcPr>
                  <w:tcW w:w="1983" w:type="dxa"/>
                </w:tcPr>
                <w:p w:rsidR="00CB46A4" w:rsidRPr="00257B64" w:rsidRDefault="00CB46A4" w:rsidP="00CB46A4">
                  <w:r w:rsidRPr="00257B64">
                    <w:t>45</w:t>
                  </w:r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257B64" w:rsidRDefault="00CB46A4" w:rsidP="00CB46A4">
                  <w:pPr>
                    <w:spacing w:line="0" w:lineRule="atLeast"/>
                  </w:pPr>
                  <w:proofErr w:type="spellStart"/>
                  <w:r w:rsidRPr="00257B64">
                    <w:t>Ushtrime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teorike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laboratorike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CB46A4" w:rsidRPr="00257B64" w:rsidRDefault="00CB46A4" w:rsidP="00CB46A4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CB46A4" w:rsidRPr="00257B64" w:rsidRDefault="00CB46A4" w:rsidP="00CB46A4">
                  <w:r w:rsidRPr="00257B64">
                    <w:t>15</w:t>
                  </w:r>
                </w:p>
              </w:tc>
              <w:tc>
                <w:tcPr>
                  <w:tcW w:w="1983" w:type="dxa"/>
                </w:tcPr>
                <w:p w:rsidR="00CB46A4" w:rsidRPr="00257B64" w:rsidRDefault="00CB46A4" w:rsidP="00CB46A4">
                  <w:r w:rsidRPr="00257B64">
                    <w:t>30</w:t>
                  </w:r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257B64" w:rsidRDefault="00CB46A4" w:rsidP="00CB46A4">
                  <w:pPr>
                    <w:spacing w:line="0" w:lineRule="atLeast"/>
                  </w:pPr>
                  <w:proofErr w:type="spellStart"/>
                  <w:r w:rsidRPr="00257B64">
                    <w:t>Kontaktet</w:t>
                  </w:r>
                  <w:proofErr w:type="spellEnd"/>
                  <w:r w:rsidRPr="00257B64">
                    <w:t xml:space="preserve"> me </w:t>
                  </w:r>
                  <w:proofErr w:type="spellStart"/>
                  <w:r w:rsidRPr="00257B64">
                    <w:t>mësimdhënësin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konsultimet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CB46A4" w:rsidRPr="00257B64" w:rsidRDefault="00CB46A4" w:rsidP="00CB46A4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CB46A4" w:rsidRPr="00257B64" w:rsidRDefault="00CB46A4" w:rsidP="00CB46A4">
                  <w:r w:rsidRPr="00257B64">
                    <w:t>2</w:t>
                  </w:r>
                </w:p>
              </w:tc>
              <w:tc>
                <w:tcPr>
                  <w:tcW w:w="1983" w:type="dxa"/>
                </w:tcPr>
                <w:p w:rsidR="00CB46A4" w:rsidRPr="00257B64" w:rsidRDefault="00CB46A4" w:rsidP="00CB46A4">
                  <w:r w:rsidRPr="00257B64">
                    <w:t>4</w:t>
                  </w:r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257B64" w:rsidRDefault="00CB46A4" w:rsidP="00CB46A4">
                  <w:pPr>
                    <w:spacing w:line="0" w:lineRule="atLeast"/>
                  </w:pPr>
                  <w:proofErr w:type="spellStart"/>
                  <w:r w:rsidRPr="00257B64">
                    <w:t>Kolokiume</w:t>
                  </w:r>
                  <w:proofErr w:type="spellEnd"/>
                  <w:r w:rsidRPr="00257B64">
                    <w:t xml:space="preserve">, </w:t>
                  </w:r>
                  <w:proofErr w:type="spellStart"/>
                  <w:r w:rsidRPr="00257B64">
                    <w:t>seminare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CB46A4" w:rsidRPr="00257B64" w:rsidRDefault="00CB46A4" w:rsidP="00CB46A4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CB46A4" w:rsidRPr="00257B64" w:rsidRDefault="00CB46A4" w:rsidP="00CB46A4">
                  <w:r w:rsidRPr="00257B64">
                    <w:t>2</w:t>
                  </w:r>
                </w:p>
              </w:tc>
              <w:tc>
                <w:tcPr>
                  <w:tcW w:w="1983" w:type="dxa"/>
                </w:tcPr>
                <w:p w:rsidR="00CB46A4" w:rsidRPr="00257B64" w:rsidRDefault="00CB46A4" w:rsidP="00CB46A4">
                  <w:r w:rsidRPr="00257B64">
                    <w:t>4</w:t>
                  </w:r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257B64" w:rsidRDefault="00CB46A4" w:rsidP="00CB46A4">
                  <w:pPr>
                    <w:spacing w:line="0" w:lineRule="atLeast"/>
                  </w:pPr>
                  <w:proofErr w:type="spellStart"/>
                  <w:r w:rsidRPr="00257B64">
                    <w:t>Koha</w:t>
                  </w:r>
                  <w:proofErr w:type="spellEnd"/>
                  <w:r w:rsidRPr="00257B64">
                    <w:t xml:space="preserve"> e </w:t>
                  </w:r>
                  <w:proofErr w:type="spellStart"/>
                  <w:r w:rsidRPr="00257B64">
                    <w:t>studimit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vetanak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studentit</w:t>
                  </w:r>
                  <w:proofErr w:type="spellEnd"/>
                  <w:r w:rsidRPr="00257B64">
                    <w:t xml:space="preserve"> (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bibliotekë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ose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shtëpi</w:t>
                  </w:r>
                  <w:proofErr w:type="spellEnd"/>
                  <w:r w:rsidRPr="00257B64">
                    <w:t>)</w:t>
                  </w:r>
                </w:p>
              </w:tc>
              <w:tc>
                <w:tcPr>
                  <w:tcW w:w="1814" w:type="dxa"/>
                </w:tcPr>
                <w:p w:rsidR="00CB46A4" w:rsidRPr="00257B64" w:rsidRDefault="00CB46A4" w:rsidP="00CB46A4"/>
              </w:tc>
              <w:tc>
                <w:tcPr>
                  <w:tcW w:w="1815" w:type="dxa"/>
                </w:tcPr>
                <w:p w:rsidR="00CB46A4" w:rsidRPr="00257B64" w:rsidRDefault="00CB46A4" w:rsidP="00CB46A4"/>
              </w:tc>
              <w:tc>
                <w:tcPr>
                  <w:tcW w:w="1983" w:type="dxa"/>
                </w:tcPr>
                <w:p w:rsidR="00CB46A4" w:rsidRPr="00257B64" w:rsidRDefault="00CB46A4" w:rsidP="00CB46A4">
                  <w:r>
                    <w:t>42</w:t>
                  </w:r>
                </w:p>
              </w:tc>
            </w:tr>
            <w:tr w:rsidR="00CB46A4" w:rsidTr="00CB46A4">
              <w:tc>
                <w:tcPr>
                  <w:tcW w:w="2910" w:type="dxa"/>
                </w:tcPr>
                <w:p w:rsidR="00CB46A4" w:rsidRPr="004F6E1C" w:rsidRDefault="00CB46A4" w:rsidP="00CB46A4">
                  <w:pPr>
                    <w:spacing w:line="0" w:lineRule="atLeast"/>
                    <w:rPr>
                      <w:lang w:val="sq-AL"/>
                    </w:rPr>
                  </w:pPr>
                  <w:r w:rsidRPr="004F6E1C">
                    <w:rPr>
                      <w:color w:val="000000"/>
                      <w:lang w:val="sq-AL"/>
                    </w:rPr>
                    <w:t>Ngarkesa totale orë</w:t>
                  </w:r>
                </w:p>
              </w:tc>
              <w:tc>
                <w:tcPr>
                  <w:tcW w:w="1814" w:type="dxa"/>
                </w:tcPr>
                <w:p w:rsidR="00CB46A4" w:rsidRPr="004F6E1C" w:rsidRDefault="00CB46A4" w:rsidP="00CB46A4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1815" w:type="dxa"/>
                </w:tcPr>
                <w:p w:rsidR="00CB46A4" w:rsidRPr="004F6E1C" w:rsidRDefault="00CB46A4" w:rsidP="00CB46A4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1983" w:type="dxa"/>
                </w:tcPr>
                <w:p w:rsidR="00CB46A4" w:rsidRPr="004F6E1C" w:rsidRDefault="00CB46A4" w:rsidP="00CB46A4">
                  <w:pPr>
                    <w:spacing w:line="0" w:lineRule="atLeast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125</w:t>
                  </w:r>
                </w:p>
              </w:tc>
            </w:tr>
          </w:tbl>
          <w:p w:rsidR="00CB46A4" w:rsidRDefault="00CB46A4" w:rsidP="0086234B">
            <w:pPr>
              <w:pStyle w:val="NoSpacing"/>
              <w:jc w:val="center"/>
              <w:rPr>
                <w:b/>
                <w:lang w:val="sq-AL"/>
              </w:rPr>
            </w:pPr>
          </w:p>
        </w:tc>
      </w:tr>
      <w:tr w:rsidR="00660675" w:rsidRPr="00470B95" w:rsidTr="00CB46A4">
        <w:tc>
          <w:tcPr>
            <w:tcW w:w="8630" w:type="dxa"/>
            <w:gridSpan w:val="2"/>
            <w:shd w:val="clear" w:color="auto" w:fill="D9D9D9"/>
            <w:vAlign w:val="center"/>
          </w:tcPr>
          <w:p w:rsidR="00660675" w:rsidRPr="00470B95" w:rsidRDefault="00660675" w:rsidP="0086234B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4747" w:type="dxa"/>
          </w:tcPr>
          <w:p w:rsidR="00422840" w:rsidRPr="00722B6C" w:rsidRDefault="00422840" w:rsidP="004228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Ligjërata</w:t>
            </w:r>
            <w:proofErr w:type="spellEnd"/>
            <w:r w:rsidRPr="00722B6C">
              <w:rPr>
                <w:rFonts w:ascii="Garamond" w:hAnsi="Garamond" w:cs="Garamond"/>
              </w:rPr>
              <w:t>,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ushtrime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punë</w:t>
            </w:r>
            <w:proofErr w:type="spellEnd"/>
            <w:r w:rsidRPr="00722B6C">
              <w:rPr>
                <w:rFonts w:ascii="Garamond" w:hAnsi="Garamond" w:cs="Garamond"/>
              </w:rPr>
              <w:t xml:space="preserve"> </w:t>
            </w:r>
            <w:proofErr w:type="spellStart"/>
            <w:r w:rsidRPr="00722B6C">
              <w:rPr>
                <w:rFonts w:ascii="Garamond" w:hAnsi="Garamond" w:cs="Garamond"/>
              </w:rPr>
              <w:t>individuale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punë</w:t>
            </w:r>
            <w:proofErr w:type="spellEnd"/>
            <w:r w:rsidRPr="00722B6C">
              <w:rPr>
                <w:rFonts w:ascii="Garamond" w:hAnsi="Garamond" w:cs="Garamond"/>
              </w:rPr>
              <w:t xml:space="preserve"> </w:t>
            </w:r>
            <w:proofErr w:type="spellStart"/>
            <w:r w:rsidRPr="00722B6C">
              <w:rPr>
                <w:rFonts w:ascii="Garamond" w:hAnsi="Garamond" w:cs="Garamond"/>
              </w:rPr>
              <w:t>eksperimentale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punime</w:t>
            </w:r>
            <w:proofErr w:type="spellEnd"/>
            <w:r w:rsidRPr="00722B6C">
              <w:rPr>
                <w:rFonts w:ascii="Garamond" w:hAnsi="Garamond" w:cs="Garamond"/>
              </w:rPr>
              <w:t xml:space="preserve"> </w:t>
            </w:r>
            <w:proofErr w:type="spellStart"/>
            <w:r w:rsidRPr="00722B6C">
              <w:rPr>
                <w:rFonts w:ascii="Garamond" w:hAnsi="Garamond" w:cs="Garamond"/>
              </w:rPr>
              <w:t>seminari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kollokuiume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 w:rsidRPr="00722B6C">
              <w:rPr>
                <w:rFonts w:ascii="Garamond" w:hAnsi="Garamond" w:cs="Garamond"/>
              </w:rPr>
              <w:t>ese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punë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në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terren</w:t>
            </w:r>
            <w:proofErr w:type="spellEnd"/>
            <w:r w:rsidRPr="00722B6C">
              <w:rPr>
                <w:rFonts w:ascii="Garamond" w:hAnsi="Garamond" w:cs="Garamond"/>
              </w:rPr>
              <w:t xml:space="preserve">, </w:t>
            </w:r>
          </w:p>
          <w:p w:rsidR="00422840" w:rsidRPr="00722B6C" w:rsidRDefault="00422840" w:rsidP="004228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proofErr w:type="spellStart"/>
            <w:proofErr w:type="gramStart"/>
            <w:r w:rsidRPr="00722B6C">
              <w:rPr>
                <w:rFonts w:ascii="Garamond" w:hAnsi="Garamond" w:cs="Garamond"/>
              </w:rPr>
              <w:t>punë</w:t>
            </w:r>
            <w:proofErr w:type="spellEnd"/>
            <w:proofErr w:type="gramEnd"/>
            <w:r w:rsidRPr="00722B6C">
              <w:rPr>
                <w:rFonts w:ascii="Garamond" w:hAnsi="Garamond" w:cs="Garamond"/>
              </w:rPr>
              <w:t xml:space="preserve"> </w:t>
            </w:r>
            <w:proofErr w:type="spellStart"/>
            <w:r w:rsidRPr="00722B6C">
              <w:rPr>
                <w:rFonts w:ascii="Garamond" w:hAnsi="Garamond" w:cs="Garamond"/>
              </w:rPr>
              <w:t>në</w:t>
            </w:r>
            <w:proofErr w:type="spellEnd"/>
            <w:r w:rsidRPr="00722B6C">
              <w:rPr>
                <w:rFonts w:ascii="Garamond" w:hAnsi="Garamond" w:cs="Garamond"/>
              </w:rPr>
              <w:t xml:space="preserve"> </w:t>
            </w:r>
            <w:proofErr w:type="spellStart"/>
            <w:r w:rsidRPr="00722B6C">
              <w:rPr>
                <w:rFonts w:ascii="Garamond" w:hAnsi="Garamond" w:cs="Garamond"/>
              </w:rPr>
              <w:t>grupe</w:t>
            </w:r>
            <w:proofErr w:type="spellEnd"/>
            <w:r w:rsidRPr="00722B6C">
              <w:rPr>
                <w:rFonts w:ascii="Garamond" w:hAnsi="Garamond" w:cs="Garamond"/>
              </w:rPr>
              <w:t xml:space="preserve"> </w:t>
            </w:r>
            <w:proofErr w:type="spellStart"/>
            <w:r w:rsidRPr="00722B6C">
              <w:rPr>
                <w:rFonts w:ascii="Garamond" w:hAnsi="Garamond" w:cs="Garamond"/>
              </w:rPr>
              <w:t>etj</w:t>
            </w:r>
            <w:proofErr w:type="spellEnd"/>
            <w:r w:rsidRPr="00722B6C">
              <w:rPr>
                <w:rFonts w:ascii="Garamond" w:hAnsi="Garamond" w:cs="Garamond"/>
              </w:rPr>
              <w:t>.</w:t>
            </w:r>
          </w:p>
          <w:p w:rsidR="00660675" w:rsidRPr="00470B95" w:rsidRDefault="00660675" w:rsidP="0086234B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4747" w:type="dxa"/>
          </w:tcPr>
          <w:p w:rsidR="00660675" w:rsidRPr="00470B95" w:rsidRDefault="00660675" w:rsidP="0086234B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660675" w:rsidRPr="00470B95" w:rsidTr="00CB46A4">
        <w:tc>
          <w:tcPr>
            <w:tcW w:w="3883" w:type="dxa"/>
            <w:vAlign w:val="center"/>
          </w:tcPr>
          <w:p w:rsidR="00422840" w:rsidRDefault="00422840" w:rsidP="0086234B">
            <w:pPr>
              <w:pStyle w:val="NoSpacing"/>
              <w:rPr>
                <w:b/>
                <w:lang w:val="sq-AL"/>
              </w:rPr>
            </w:pPr>
          </w:p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>Metodat e vlerësimit:</w:t>
            </w:r>
          </w:p>
        </w:tc>
        <w:tc>
          <w:tcPr>
            <w:tcW w:w="4747" w:type="dxa"/>
            <w:vAlign w:val="center"/>
          </w:tcPr>
          <w:p w:rsidR="00057123" w:rsidRPr="005F07A8" w:rsidRDefault="00057123" w:rsidP="00057123">
            <w:pPr>
              <w:widowControl w:val="0"/>
              <w:autoSpaceDE w:val="0"/>
              <w:autoSpaceDN w:val="0"/>
              <w:adjustRightInd w:val="0"/>
            </w:pPr>
          </w:p>
          <w:p w:rsidR="00057123" w:rsidRPr="005F07A8" w:rsidRDefault="00057123" w:rsidP="000571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5F07A8">
              <w:t>Provimi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mbahet</w:t>
            </w:r>
            <w:proofErr w:type="spellEnd"/>
            <w:r w:rsidRPr="005F07A8">
              <w:t xml:space="preserve"> me test</w:t>
            </w:r>
          </w:p>
          <w:p w:rsidR="00057123" w:rsidRPr="005F07A8" w:rsidRDefault="00057123" w:rsidP="000571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5F07A8">
              <w:t>Pjesëmarrja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angazhimi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mësim</w:t>
            </w:r>
            <w:proofErr w:type="spellEnd"/>
            <w:r w:rsidRPr="005F07A8">
              <w:t>: 10%</w:t>
            </w:r>
          </w:p>
          <w:p w:rsidR="00057123" w:rsidRPr="005F07A8" w:rsidRDefault="00057123" w:rsidP="000571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5F07A8">
              <w:rPr>
                <w:lang w:val="de-DE"/>
              </w:rPr>
              <w:t>Puna praktike dhe seminaret 20 %</w:t>
            </w:r>
          </w:p>
          <w:p w:rsidR="00057123" w:rsidRPr="005F07A8" w:rsidRDefault="00057123" w:rsidP="000571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5F07A8">
              <w:rPr>
                <w:lang w:val="de-DE"/>
              </w:rPr>
              <w:t>Testet intermediere (semestrale dhe gjysmësemetrale) (2) 30%</w:t>
            </w:r>
          </w:p>
          <w:p w:rsidR="00660675" w:rsidRPr="00824EE0" w:rsidRDefault="00057123" w:rsidP="008623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5F07A8">
              <w:t>Provimi</w:t>
            </w:r>
            <w:proofErr w:type="spellEnd"/>
            <w:r w:rsidRPr="005F07A8">
              <w:t xml:space="preserve"> final 40%</w:t>
            </w:r>
            <w:r w:rsidRPr="005F07A8">
              <w:tab/>
            </w:r>
          </w:p>
        </w:tc>
      </w:tr>
      <w:tr w:rsidR="00660675" w:rsidRPr="00470B95" w:rsidTr="00CB46A4">
        <w:tc>
          <w:tcPr>
            <w:tcW w:w="8630" w:type="dxa"/>
            <w:gridSpan w:val="2"/>
            <w:shd w:val="clear" w:color="auto" w:fill="D9D9D9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 xml:space="preserve">Literatura 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4747" w:type="dxa"/>
          </w:tcPr>
          <w:p w:rsidR="00057123" w:rsidRPr="00B65269" w:rsidRDefault="0082578A" w:rsidP="0005712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rPr>
                <w:bCs/>
                <w:iCs/>
              </w:rPr>
              <w:t>Dornbush</w:t>
            </w:r>
            <w:proofErr w:type="spellEnd"/>
            <w:r>
              <w:rPr>
                <w:bCs/>
                <w:iCs/>
              </w:rPr>
              <w:t xml:space="preserve"> &amp; Fischer, </w:t>
            </w:r>
            <w:proofErr w:type="spellStart"/>
            <w:r>
              <w:rPr>
                <w:bCs/>
                <w:iCs/>
              </w:rPr>
              <w:t>Makroekonomia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Tirane</w:t>
            </w:r>
            <w:proofErr w:type="spellEnd"/>
            <w:r>
              <w:rPr>
                <w:bCs/>
                <w:iCs/>
              </w:rPr>
              <w:t>, 2010</w:t>
            </w:r>
          </w:p>
          <w:p w:rsidR="00B65269" w:rsidRDefault="00B65269" w:rsidP="00B6526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Gaspar, </w:t>
            </w:r>
            <w:proofErr w:type="spellStart"/>
            <w:r>
              <w:rPr>
                <w:bCs/>
                <w:iCs/>
              </w:rPr>
              <w:t>Bierman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Kolari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Hise</w:t>
            </w:r>
            <w:proofErr w:type="spellEnd"/>
            <w:r>
              <w:rPr>
                <w:bCs/>
                <w:iCs/>
              </w:rPr>
              <w:t xml:space="preserve">, Smith, Arreola – </w:t>
            </w:r>
            <w:proofErr w:type="spellStart"/>
            <w:r>
              <w:rPr>
                <w:bCs/>
                <w:iCs/>
              </w:rPr>
              <w:t>Risa</w:t>
            </w:r>
            <w:proofErr w:type="spellEnd"/>
            <w:r>
              <w:rPr>
                <w:bCs/>
                <w:iCs/>
              </w:rPr>
              <w:t>: “</w:t>
            </w:r>
            <w:proofErr w:type="spellStart"/>
            <w:r>
              <w:rPr>
                <w:bCs/>
                <w:iCs/>
              </w:rPr>
              <w:t>Hyrje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në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biznes</w:t>
            </w:r>
            <w:proofErr w:type="spellEnd"/>
            <w:r>
              <w:rPr>
                <w:bCs/>
                <w:iCs/>
              </w:rPr>
              <w:t xml:space="preserve">” , </w:t>
            </w:r>
            <w:proofErr w:type="spellStart"/>
            <w:r>
              <w:rPr>
                <w:bCs/>
                <w:iCs/>
              </w:rPr>
              <w:t>përkthyer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Jonida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Bregu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Tiranë</w:t>
            </w:r>
            <w:proofErr w:type="spellEnd"/>
            <w:r>
              <w:rPr>
                <w:bCs/>
                <w:iCs/>
              </w:rPr>
              <w:t>, 2007</w:t>
            </w:r>
          </w:p>
          <w:p w:rsidR="00660675" w:rsidRPr="00057123" w:rsidRDefault="00B65269" w:rsidP="00057123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Nagip </w:t>
            </w:r>
            <w:r w:rsidR="00C157B2">
              <w:rPr>
                <w:sz w:val="22"/>
                <w:szCs w:val="22"/>
                <w:lang w:val="sq-AL"/>
              </w:rPr>
              <w:t>Skenderi</w:t>
            </w:r>
            <w:r w:rsidR="00057123">
              <w:rPr>
                <w:sz w:val="22"/>
                <w:szCs w:val="22"/>
                <w:lang w:val="sq-AL"/>
              </w:rPr>
              <w:t xml:space="preserve"> &amp; Leonora, Sopaj, Hyrje n</w:t>
            </w:r>
            <w:r w:rsidR="00824EE0">
              <w:rPr>
                <w:sz w:val="22"/>
                <w:szCs w:val="22"/>
                <w:lang w:val="sq-AL"/>
              </w:rPr>
              <w:t>ë</w:t>
            </w:r>
            <w:r w:rsidR="00057123">
              <w:rPr>
                <w:sz w:val="22"/>
                <w:szCs w:val="22"/>
                <w:lang w:val="sq-AL"/>
              </w:rPr>
              <w:t xml:space="preserve"> biznes, Ligjerata t</w:t>
            </w:r>
            <w:r w:rsidR="00824EE0">
              <w:rPr>
                <w:sz w:val="22"/>
                <w:szCs w:val="22"/>
                <w:lang w:val="sq-AL"/>
              </w:rPr>
              <w:t>ë</w:t>
            </w:r>
            <w:r w:rsidR="00057123">
              <w:rPr>
                <w:sz w:val="22"/>
                <w:szCs w:val="22"/>
                <w:lang w:val="sq-AL"/>
              </w:rPr>
              <w:t xml:space="preserve"> autorizuara, Prishtin</w:t>
            </w:r>
            <w:r w:rsidR="00824EE0">
              <w:rPr>
                <w:sz w:val="22"/>
                <w:szCs w:val="22"/>
                <w:lang w:val="sq-AL"/>
              </w:rPr>
              <w:t>ë</w:t>
            </w:r>
            <w:r w:rsidR="00057123">
              <w:rPr>
                <w:sz w:val="22"/>
                <w:szCs w:val="22"/>
                <w:lang w:val="sq-AL"/>
              </w:rPr>
              <w:t>, 2014</w:t>
            </w:r>
          </w:p>
        </w:tc>
      </w:tr>
      <w:tr w:rsidR="00660675" w:rsidRPr="00470B95" w:rsidTr="00CB46A4">
        <w:tc>
          <w:tcPr>
            <w:tcW w:w="3883" w:type="dxa"/>
          </w:tcPr>
          <w:p w:rsidR="00660675" w:rsidRPr="00470B95" w:rsidRDefault="00660675" w:rsidP="0086234B">
            <w:pPr>
              <w:pStyle w:val="NoSpacing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4747" w:type="dxa"/>
          </w:tcPr>
          <w:p w:rsidR="00057123" w:rsidRPr="00057123" w:rsidRDefault="00B65269" w:rsidP="00057123">
            <w:pPr>
              <w:pStyle w:val="NoSpacing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Musa Limani, Makroekonomia, Prishtine, 2013</w:t>
            </w:r>
          </w:p>
        </w:tc>
      </w:tr>
    </w:tbl>
    <w:p w:rsidR="00660675" w:rsidRPr="00470B95" w:rsidRDefault="00660675" w:rsidP="00660675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5952"/>
      </w:tblGrid>
      <w:tr w:rsidR="00660675" w:rsidRPr="00470B95" w:rsidTr="0086234B">
        <w:tc>
          <w:tcPr>
            <w:tcW w:w="8856" w:type="dxa"/>
            <w:gridSpan w:val="2"/>
            <w:shd w:val="clear" w:color="auto" w:fill="D9D9D9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 xml:space="preserve">Plani i dizejnuar i mësimit:  </w:t>
            </w:r>
          </w:p>
          <w:p w:rsidR="00660675" w:rsidRPr="00470B95" w:rsidRDefault="00660675" w:rsidP="0086234B">
            <w:pPr>
              <w:rPr>
                <w:b/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  <w:shd w:val="clear" w:color="auto" w:fill="D9D9D9"/>
          </w:tcPr>
          <w:p w:rsidR="00660675" w:rsidRPr="00470B95" w:rsidRDefault="00660675" w:rsidP="0086234B">
            <w:pPr>
              <w:jc w:val="center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lastRenderedPageBreak/>
              <w:t>Java</w:t>
            </w:r>
          </w:p>
        </w:tc>
        <w:tc>
          <w:tcPr>
            <w:tcW w:w="6138" w:type="dxa"/>
            <w:shd w:val="clear" w:color="auto" w:fill="D9D9D9"/>
          </w:tcPr>
          <w:p w:rsidR="00660675" w:rsidRPr="00470B95" w:rsidRDefault="00660675" w:rsidP="0086234B">
            <w:pPr>
              <w:jc w:val="center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>Ligjërata që do të zhvillohet</w:t>
            </w: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660675" w:rsidRPr="00470B95" w:rsidRDefault="00057123" w:rsidP="0086234B">
            <w:pPr>
              <w:rPr>
                <w:b/>
                <w:lang w:val="sq-AL"/>
              </w:rPr>
            </w:pPr>
            <w:r w:rsidRPr="00722B6C">
              <w:rPr>
                <w:lang w:val="sq-AL"/>
              </w:rPr>
              <w:t>Njoftimi me planprogramin mësimor të lëndës dhe obligimet e dyanshme profesor – student</w:t>
            </w: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115900" w:rsidRPr="00547D6D" w:rsidRDefault="00115900" w:rsidP="00115900">
            <w:proofErr w:type="spellStart"/>
            <w:r w:rsidRPr="00547D6D">
              <w:t>Hyrje</w:t>
            </w:r>
            <w:proofErr w:type="spellEnd"/>
            <w:r w:rsidRPr="00547D6D">
              <w:t xml:space="preserve"> ne </w:t>
            </w:r>
            <w:proofErr w:type="spellStart"/>
            <w:r w:rsidRPr="00547D6D">
              <w:t>makroekonomi</w:t>
            </w:r>
            <w:proofErr w:type="spellEnd"/>
            <w:r w:rsidRPr="00547D6D">
              <w:t>,</w:t>
            </w:r>
          </w:p>
          <w:p w:rsidR="00660675" w:rsidRPr="00547D6D" w:rsidRDefault="00115900" w:rsidP="00115900">
            <w:pPr>
              <w:rPr>
                <w:sz w:val="30"/>
                <w:szCs w:val="30"/>
              </w:rPr>
            </w:pPr>
            <w:proofErr w:type="spellStart"/>
            <w:r w:rsidRPr="00547D6D">
              <w:t>Konceptet</w:t>
            </w:r>
            <w:proofErr w:type="spellEnd"/>
            <w:r w:rsidRPr="00547D6D">
              <w:t xml:space="preserve"> </w:t>
            </w:r>
            <w:proofErr w:type="spellStart"/>
            <w:r w:rsidRPr="00547D6D">
              <w:t>kryesore</w:t>
            </w:r>
            <w:proofErr w:type="spellEnd"/>
            <w:r w:rsidRPr="00547D6D">
              <w:t xml:space="preserve"> </w:t>
            </w:r>
            <w:proofErr w:type="spellStart"/>
            <w:r w:rsidRPr="00547D6D">
              <w:t>makroekonomike</w:t>
            </w:r>
            <w:proofErr w:type="spellEnd"/>
            <w:r w:rsidRPr="00547D6D">
              <w:rPr>
                <w:sz w:val="30"/>
                <w:szCs w:val="30"/>
              </w:rPr>
              <w:t xml:space="preserve"> </w:t>
            </w: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tretë</w:t>
            </w:r>
            <w:r w:rsidRPr="00470B95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660675" w:rsidRPr="008E1738" w:rsidRDefault="00115900" w:rsidP="00115900">
            <w:pPr>
              <w:rPr>
                <w:sz w:val="22"/>
                <w:szCs w:val="22"/>
              </w:rPr>
            </w:pPr>
            <w:proofErr w:type="spellStart"/>
            <w:r w:rsidRPr="008E1738">
              <w:rPr>
                <w:sz w:val="22"/>
                <w:szCs w:val="22"/>
              </w:rPr>
              <w:t>Kerkesa</w:t>
            </w:r>
            <w:proofErr w:type="spellEnd"/>
            <w:r w:rsidRPr="008E1738">
              <w:rPr>
                <w:sz w:val="22"/>
                <w:szCs w:val="22"/>
              </w:rPr>
              <w:t xml:space="preserve"> </w:t>
            </w:r>
            <w:proofErr w:type="spellStart"/>
            <w:r w:rsidRPr="008E1738">
              <w:rPr>
                <w:sz w:val="22"/>
                <w:szCs w:val="22"/>
              </w:rPr>
              <w:t>Agregate</w:t>
            </w:r>
            <w:proofErr w:type="spellEnd"/>
            <w:r w:rsidRPr="008E1738">
              <w:rPr>
                <w:sz w:val="22"/>
                <w:szCs w:val="22"/>
              </w:rPr>
              <w:t xml:space="preserve"> (AD), </w:t>
            </w:r>
            <w:proofErr w:type="spellStart"/>
            <w:r w:rsidRPr="008E1738">
              <w:rPr>
                <w:sz w:val="22"/>
                <w:szCs w:val="22"/>
              </w:rPr>
              <w:t>Oferta</w:t>
            </w:r>
            <w:proofErr w:type="spellEnd"/>
            <w:r w:rsidRPr="008E1738">
              <w:rPr>
                <w:sz w:val="22"/>
                <w:szCs w:val="22"/>
              </w:rPr>
              <w:t xml:space="preserve"> </w:t>
            </w:r>
            <w:proofErr w:type="spellStart"/>
            <w:r w:rsidRPr="008E1738">
              <w:rPr>
                <w:sz w:val="22"/>
                <w:szCs w:val="22"/>
              </w:rPr>
              <w:t>Agregate</w:t>
            </w:r>
            <w:proofErr w:type="spellEnd"/>
            <w:r w:rsidRPr="008E1738">
              <w:rPr>
                <w:sz w:val="22"/>
                <w:szCs w:val="22"/>
              </w:rPr>
              <w:t xml:space="preserve"> (AS) </w:t>
            </w:r>
            <w:proofErr w:type="spellStart"/>
            <w:r w:rsidRPr="008E1738">
              <w:rPr>
                <w:sz w:val="22"/>
                <w:szCs w:val="22"/>
              </w:rPr>
              <w:t>dhe</w:t>
            </w:r>
            <w:proofErr w:type="spellEnd"/>
            <w:r w:rsidRPr="008E1738">
              <w:rPr>
                <w:sz w:val="22"/>
                <w:szCs w:val="22"/>
              </w:rPr>
              <w:t xml:space="preserve"> </w:t>
            </w:r>
            <w:proofErr w:type="spellStart"/>
            <w:r w:rsidRPr="008E1738">
              <w:rPr>
                <w:sz w:val="22"/>
                <w:szCs w:val="22"/>
              </w:rPr>
              <w:t>Ekuilibri</w:t>
            </w:r>
            <w:proofErr w:type="spellEnd"/>
            <w:r w:rsidRPr="008E1738">
              <w:rPr>
                <w:sz w:val="22"/>
                <w:szCs w:val="22"/>
              </w:rPr>
              <w:t xml:space="preserve"> </w:t>
            </w:r>
            <w:proofErr w:type="spellStart"/>
            <w:r w:rsidRPr="008E1738">
              <w:rPr>
                <w:sz w:val="22"/>
                <w:szCs w:val="22"/>
              </w:rPr>
              <w:t>Makroekonomik</w:t>
            </w:r>
            <w:proofErr w:type="spellEnd"/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660675" w:rsidRDefault="00115900" w:rsidP="00115900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Treguesit kryesor makroekonomik (GDP e GNP)</w:t>
            </w:r>
          </w:p>
          <w:p w:rsidR="00115900" w:rsidRPr="00824EE0" w:rsidRDefault="00115900" w:rsidP="00115900">
            <w:pPr>
              <w:jc w:val="both"/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pestë:</w:t>
            </w:r>
            <w:r w:rsidRPr="00470B95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115900" w:rsidRPr="008E1738" w:rsidRDefault="00115900" w:rsidP="00115900">
            <w:proofErr w:type="spellStart"/>
            <w:r w:rsidRPr="008E1738">
              <w:t>Papunesia</w:t>
            </w:r>
            <w:proofErr w:type="spellEnd"/>
            <w:r w:rsidRPr="008E1738">
              <w:t xml:space="preserve">, </w:t>
            </w:r>
            <w:proofErr w:type="spellStart"/>
            <w:r w:rsidR="00547D6D" w:rsidRPr="008E1738">
              <w:t>k</w:t>
            </w:r>
            <w:r w:rsidRPr="008E1738">
              <w:t>uptimi</w:t>
            </w:r>
            <w:proofErr w:type="spellEnd"/>
            <w:r w:rsidRPr="008E1738">
              <w:t xml:space="preserve">, </w:t>
            </w:r>
            <w:proofErr w:type="spellStart"/>
            <w:r w:rsidRPr="008E1738">
              <w:t>llojet</w:t>
            </w:r>
            <w:proofErr w:type="spellEnd"/>
            <w:r w:rsidRPr="008E1738">
              <w:t xml:space="preserve">, </w:t>
            </w:r>
            <w:proofErr w:type="spellStart"/>
            <w:r w:rsidRPr="008E1738">
              <w:t>efektet</w:t>
            </w:r>
            <w:proofErr w:type="spellEnd"/>
            <w:r w:rsidRPr="008E1738">
              <w:t xml:space="preserve"> </w:t>
            </w:r>
            <w:proofErr w:type="spellStart"/>
            <w:r w:rsidRPr="008E1738">
              <w:t>dhe</w:t>
            </w:r>
            <w:proofErr w:type="spellEnd"/>
            <w:r w:rsidRPr="008E1738">
              <w:t xml:space="preserve"> </w:t>
            </w:r>
            <w:proofErr w:type="spellStart"/>
            <w:r w:rsidRPr="008E1738">
              <w:t>masat</w:t>
            </w:r>
            <w:proofErr w:type="spellEnd"/>
            <w:r w:rsidRPr="008E1738">
              <w:t xml:space="preserve"> </w:t>
            </w:r>
            <w:proofErr w:type="spellStart"/>
            <w:r w:rsidRPr="008E1738">
              <w:t>për</w:t>
            </w:r>
            <w:proofErr w:type="spellEnd"/>
            <w:r w:rsidRPr="008E1738">
              <w:t xml:space="preserve"> </w:t>
            </w:r>
          </w:p>
          <w:p w:rsidR="00115900" w:rsidRPr="008E1738" w:rsidRDefault="00115900" w:rsidP="00115900">
            <w:proofErr w:type="spellStart"/>
            <w:r w:rsidRPr="008E1738">
              <w:t>zgjidhjen</w:t>
            </w:r>
            <w:proofErr w:type="spellEnd"/>
            <w:r w:rsidRPr="008E1738">
              <w:t xml:space="preserve"> e </w:t>
            </w:r>
            <w:proofErr w:type="spellStart"/>
            <w:r w:rsidRPr="008E1738">
              <w:t>papunësisë</w:t>
            </w:r>
            <w:proofErr w:type="spellEnd"/>
            <w:r w:rsidRPr="008E1738">
              <w:t xml:space="preserve"> </w:t>
            </w:r>
          </w:p>
          <w:p w:rsidR="00660675" w:rsidRPr="00824EE0" w:rsidRDefault="00660675" w:rsidP="0086234B">
            <w:pPr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gjashtë</w:t>
            </w:r>
            <w:r w:rsidRPr="00470B95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547D6D" w:rsidRPr="00547D6D" w:rsidRDefault="008E1738" w:rsidP="00547D6D">
            <w:proofErr w:type="spellStart"/>
            <w:r>
              <w:t>Iflacioni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="00547D6D" w:rsidRPr="00547D6D">
              <w:t>eflacioni</w:t>
            </w:r>
            <w:proofErr w:type="spellEnd"/>
            <w:r w:rsidR="00547D6D" w:rsidRPr="00547D6D"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Desinflacioni</w:t>
            </w:r>
            <w:proofErr w:type="spellEnd"/>
            <w:r>
              <w:t xml:space="preserve">, </w:t>
            </w:r>
          </w:p>
          <w:p w:rsidR="00547D6D" w:rsidRPr="00547D6D" w:rsidRDefault="008E1738" w:rsidP="00547D6D">
            <w:proofErr w:type="spellStart"/>
            <w:r>
              <w:t>L</w:t>
            </w:r>
            <w:r w:rsidR="00547D6D" w:rsidRPr="00547D6D">
              <w:t>akorja</w:t>
            </w:r>
            <w:proofErr w:type="spellEnd"/>
            <w:r w:rsidR="00547D6D" w:rsidRPr="00547D6D">
              <w:t xml:space="preserve"> e </w:t>
            </w:r>
            <w:proofErr w:type="spellStart"/>
            <w:r w:rsidR="00547D6D" w:rsidRPr="00547D6D">
              <w:t>Philipsit</w:t>
            </w:r>
            <w:proofErr w:type="spellEnd"/>
            <w:r w:rsidR="00547D6D" w:rsidRPr="00547D6D">
              <w:t xml:space="preserve"> </w:t>
            </w:r>
          </w:p>
          <w:p w:rsidR="00660675" w:rsidRPr="00824EE0" w:rsidRDefault="00660675" w:rsidP="00547D6D">
            <w:pPr>
              <w:jc w:val="both"/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shtatë:</w:t>
            </w:r>
            <w:r w:rsidRPr="00470B95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660675" w:rsidRDefault="00057123" w:rsidP="0086234B">
            <w:pPr>
              <w:rPr>
                <w:lang w:val="sq-AL"/>
              </w:rPr>
            </w:pPr>
            <w:r w:rsidRPr="00824EE0">
              <w:rPr>
                <w:lang w:val="sq-AL"/>
              </w:rPr>
              <w:t>Testi I-rë Mes-semestral</w:t>
            </w:r>
          </w:p>
          <w:p w:rsidR="00547D6D" w:rsidRPr="00824EE0" w:rsidRDefault="00547D6D" w:rsidP="0086234B">
            <w:pPr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tetë:</w:t>
            </w:r>
            <w:r w:rsidRPr="00470B95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660675" w:rsidRDefault="00547D6D" w:rsidP="00057123">
            <w:pPr>
              <w:jc w:val="both"/>
            </w:pPr>
            <w:proofErr w:type="spellStart"/>
            <w:r>
              <w:t>Paraja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funksionet</w:t>
            </w:r>
            <w:proofErr w:type="spellEnd"/>
            <w:r>
              <w:t xml:space="preserve"> e </w:t>
            </w:r>
            <w:proofErr w:type="spellStart"/>
            <w:r>
              <w:t>parasë</w:t>
            </w:r>
            <w:proofErr w:type="spellEnd"/>
          </w:p>
          <w:p w:rsidR="00547D6D" w:rsidRPr="00824EE0" w:rsidRDefault="00547D6D" w:rsidP="00057123">
            <w:pPr>
              <w:jc w:val="both"/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nëntë:</w:t>
            </w:r>
            <w:r w:rsidRPr="00470B95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057123" w:rsidRPr="00824EE0" w:rsidRDefault="00547D6D" w:rsidP="00057123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Politikat Monetare</w:t>
            </w:r>
            <w:r w:rsidR="008E1738">
              <w:rPr>
                <w:lang w:val="sq-AL"/>
              </w:rPr>
              <w:t xml:space="preserve"> dhe Kreditore</w:t>
            </w:r>
            <w:r>
              <w:rPr>
                <w:lang w:val="sq-AL"/>
              </w:rPr>
              <w:t>, instrument kryesor per realizimin e objektivave makroekonomike</w:t>
            </w:r>
          </w:p>
          <w:p w:rsidR="00660675" w:rsidRPr="00824EE0" w:rsidRDefault="00660675" w:rsidP="0086234B">
            <w:pPr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660675" w:rsidRDefault="008E1738" w:rsidP="00547D6D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Sistemi bankar dhe roli e funksionet e Bankes Qendrore</w:t>
            </w:r>
          </w:p>
          <w:p w:rsidR="008E1738" w:rsidRPr="00824EE0" w:rsidRDefault="008E1738" w:rsidP="00547D6D">
            <w:pPr>
              <w:jc w:val="both"/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njëmbëdhjet</w:t>
            </w:r>
            <w:r>
              <w:rPr>
                <w:b/>
                <w:i/>
                <w:lang w:val="sq-AL"/>
              </w:rPr>
              <w:t>ë</w:t>
            </w:r>
            <w:r w:rsidRPr="00470B95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660675" w:rsidRPr="00824EE0" w:rsidRDefault="008E1738" w:rsidP="008E1738">
            <w:pPr>
              <w:rPr>
                <w:lang w:val="sq-AL"/>
              </w:rPr>
            </w:pPr>
            <w:r>
              <w:rPr>
                <w:lang w:val="sq-AL"/>
              </w:rPr>
              <w:t>Politikat Fiskale, si instrument kryesor per realizimin e objektivave makroekonomike,  Sistemi fiskal dhe nocioni i buxhetit</w:t>
            </w: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dymbëdhjetë</w:t>
            </w:r>
            <w:r w:rsidRPr="00470B95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8E1738" w:rsidRDefault="008E1738" w:rsidP="008E1738">
            <w:pPr>
              <w:rPr>
                <w:lang w:val="sq-AL"/>
              </w:rPr>
            </w:pPr>
            <w:r>
              <w:rPr>
                <w:lang w:val="sq-AL"/>
              </w:rPr>
              <w:t>Multiplikatori, llojet e tij</w:t>
            </w:r>
          </w:p>
          <w:p w:rsidR="008E1738" w:rsidRPr="00824EE0" w:rsidRDefault="008E1738" w:rsidP="008E1738">
            <w:pPr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trembëdhjetë</w:t>
            </w:r>
            <w:r w:rsidRPr="00470B95"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660675" w:rsidRDefault="008E1738" w:rsidP="0086234B">
            <w:pPr>
              <w:rPr>
                <w:lang w:val="sq-AL"/>
              </w:rPr>
            </w:pPr>
            <w:r>
              <w:rPr>
                <w:lang w:val="sq-AL"/>
              </w:rPr>
              <w:t>Konsumi dhe Kursimi</w:t>
            </w:r>
          </w:p>
          <w:p w:rsidR="008E1738" w:rsidRPr="00824EE0" w:rsidRDefault="008E1738" w:rsidP="0086234B">
            <w:pPr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katërmbëdhjetë</w:t>
            </w:r>
            <w:r w:rsidRPr="00470B95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660675" w:rsidRDefault="008E1738" w:rsidP="0086234B">
            <w:pPr>
              <w:rPr>
                <w:lang w:val="sq-AL"/>
              </w:rPr>
            </w:pPr>
            <w:r>
              <w:rPr>
                <w:lang w:val="sq-AL"/>
              </w:rPr>
              <w:t>Marredhenjet ekonomike nderkombetare</w:t>
            </w:r>
          </w:p>
          <w:p w:rsidR="008E1738" w:rsidRPr="00824EE0" w:rsidRDefault="008E1738" w:rsidP="0086234B">
            <w:pPr>
              <w:rPr>
                <w:lang w:val="sq-AL"/>
              </w:rPr>
            </w:pPr>
          </w:p>
        </w:tc>
      </w:tr>
      <w:tr w:rsidR="00660675" w:rsidRPr="00470B95" w:rsidTr="0086234B">
        <w:tc>
          <w:tcPr>
            <w:tcW w:w="2718" w:type="dxa"/>
          </w:tcPr>
          <w:p w:rsidR="00660675" w:rsidRPr="00470B95" w:rsidRDefault="00660675" w:rsidP="0086234B">
            <w:pPr>
              <w:rPr>
                <w:b/>
                <w:i/>
                <w:lang w:val="sq-AL"/>
              </w:rPr>
            </w:pPr>
            <w:r w:rsidRPr="00470B95">
              <w:rPr>
                <w:b/>
                <w:i/>
                <w:lang w:val="sq-AL"/>
              </w:rPr>
              <w:t>Java e pesëmbëdhjetë</w:t>
            </w:r>
            <w:r w:rsidRPr="00470B95"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660675" w:rsidRDefault="00824EE0" w:rsidP="0086234B">
            <w:pPr>
              <w:rPr>
                <w:lang w:val="sq-AL"/>
              </w:rPr>
            </w:pPr>
            <w:r w:rsidRPr="00824EE0">
              <w:rPr>
                <w:lang w:val="sq-AL"/>
              </w:rPr>
              <w:t>Testi II-të Mes-semestral</w:t>
            </w:r>
          </w:p>
          <w:p w:rsidR="008E1738" w:rsidRPr="00824EE0" w:rsidRDefault="008E1738" w:rsidP="0086234B">
            <w:pPr>
              <w:rPr>
                <w:lang w:val="sq-AL"/>
              </w:rPr>
            </w:pPr>
          </w:p>
        </w:tc>
      </w:tr>
    </w:tbl>
    <w:p w:rsidR="00824EE0" w:rsidRPr="00470B95" w:rsidRDefault="00824EE0" w:rsidP="00660675">
      <w:pPr>
        <w:pStyle w:val="NoSpacing"/>
        <w:rPr>
          <w:szCs w:val="28"/>
          <w:lang w:val="sq-AL"/>
        </w:rPr>
      </w:pPr>
    </w:p>
    <w:p w:rsidR="00660675" w:rsidRPr="00470B95" w:rsidRDefault="00660675" w:rsidP="00660675">
      <w:pPr>
        <w:rPr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660675" w:rsidRPr="00470B95" w:rsidTr="0086234B">
        <w:tc>
          <w:tcPr>
            <w:tcW w:w="8856" w:type="dxa"/>
            <w:shd w:val="clear" w:color="auto" w:fill="D9D9D9"/>
          </w:tcPr>
          <w:p w:rsidR="00660675" w:rsidRPr="00470B95" w:rsidRDefault="00660675" w:rsidP="0086234B">
            <w:pPr>
              <w:jc w:val="center"/>
              <w:rPr>
                <w:b/>
                <w:lang w:val="sq-AL"/>
              </w:rPr>
            </w:pPr>
            <w:r w:rsidRPr="00470B95">
              <w:rPr>
                <w:b/>
                <w:lang w:val="sq-AL"/>
              </w:rPr>
              <w:t>Politikat akademike dhe rregullat e mirësjelljes:</w:t>
            </w:r>
          </w:p>
        </w:tc>
      </w:tr>
      <w:tr w:rsidR="00660675" w:rsidRPr="00470B95" w:rsidTr="0086234B">
        <w:trPr>
          <w:trHeight w:val="1088"/>
        </w:trPr>
        <w:tc>
          <w:tcPr>
            <w:tcW w:w="8856" w:type="dxa"/>
          </w:tcPr>
          <w:p w:rsidR="00660675" w:rsidRPr="00183ED5" w:rsidRDefault="00824EE0" w:rsidP="00183ED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jan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obliguar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rcjellin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rregull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marrin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librat</w:t>
            </w:r>
            <w:proofErr w:type="spellEnd"/>
            <w:r w:rsidRPr="005F07A8">
              <w:t xml:space="preserve"> e </w:t>
            </w:r>
            <w:proofErr w:type="spellStart"/>
            <w:r w:rsidRPr="005F07A8">
              <w:t>ushtrimeve.Student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duhet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vijn</w:t>
            </w:r>
            <w:r>
              <w:t>ë</w:t>
            </w:r>
            <w:proofErr w:type="spellEnd"/>
            <w:r w:rsidRPr="005F07A8">
              <w:t xml:space="preserve"> me </w:t>
            </w:r>
            <w:proofErr w:type="spellStart"/>
            <w:r w:rsidRPr="005F07A8">
              <w:t>koh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m</w:t>
            </w:r>
            <w:r>
              <w:t>ë</w:t>
            </w:r>
            <w:r w:rsidRPr="005F07A8">
              <w:t>sim</w:t>
            </w:r>
            <w:proofErr w:type="spellEnd"/>
            <w:r w:rsidRPr="005F07A8">
              <w:t xml:space="preserve">,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ruajn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qet</w:t>
            </w:r>
            <w:r>
              <w:t>ë</w:t>
            </w:r>
            <w:r w:rsidRPr="005F07A8">
              <w:t>sin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angazhohen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aktivisht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n</w:t>
            </w:r>
            <w:r>
              <w:t>ë</w:t>
            </w:r>
            <w:proofErr w:type="spellEnd"/>
            <w:r w:rsidRPr="005F07A8">
              <w:t xml:space="preserve"> dialog </w:t>
            </w:r>
            <w:proofErr w:type="spellStart"/>
            <w:r w:rsidRPr="005F07A8">
              <w:t>p</w:t>
            </w:r>
            <w:r>
              <w:t>ë</w:t>
            </w:r>
            <w:r w:rsidRPr="005F07A8">
              <w:t>rmes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shpjegimit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interaktiv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uhtrimeve</w:t>
            </w:r>
            <w:proofErr w:type="spellEnd"/>
            <w:r w:rsidRPr="005F07A8">
              <w:t xml:space="preserve">. </w:t>
            </w:r>
            <w:proofErr w:type="spellStart"/>
            <w:r w:rsidRPr="005F07A8">
              <w:t>Rekomanohet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gjat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koh</w:t>
            </w:r>
            <w:r>
              <w:t>ë</w:t>
            </w:r>
            <w:r w:rsidRPr="005F07A8">
              <w:t>s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ligj</w:t>
            </w:r>
            <w:r>
              <w:t>ë</w:t>
            </w:r>
            <w:r w:rsidRPr="005F07A8">
              <w:t>ratave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dhe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ushtrimeve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student</w:t>
            </w:r>
            <w:r>
              <w:t>ë</w:t>
            </w:r>
            <w:r w:rsidRPr="005F07A8">
              <w:t>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</w:t>
            </w:r>
            <w:r>
              <w:t>ë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q’kyqin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telefonat</w:t>
            </w:r>
            <w:proofErr w:type="spellEnd"/>
            <w:r w:rsidRPr="005F07A8">
              <w:t xml:space="preserve"> </w:t>
            </w:r>
            <w:proofErr w:type="spellStart"/>
            <w:r w:rsidRPr="005F07A8">
              <w:t>celular</w:t>
            </w:r>
            <w:r>
              <w:t>ë</w:t>
            </w:r>
            <w:proofErr w:type="spellEnd"/>
            <w:r w:rsidRPr="005F07A8">
              <w:t>.</w:t>
            </w:r>
          </w:p>
        </w:tc>
      </w:tr>
    </w:tbl>
    <w:p w:rsidR="009C76D7" w:rsidRDefault="009C76D7" w:rsidP="00ED09B7">
      <w:bookmarkStart w:id="0" w:name="_GoBack"/>
      <w:bookmarkEnd w:id="0"/>
    </w:p>
    <w:sectPr w:rsidR="009C76D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B9" w:rsidRDefault="00585EB9">
      <w:r>
        <w:separator/>
      </w:r>
    </w:p>
  </w:endnote>
  <w:endnote w:type="continuationSeparator" w:id="0">
    <w:p w:rsidR="00585EB9" w:rsidRDefault="005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66067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585EB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66067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9B7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585EB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B9" w:rsidRDefault="00585EB9">
      <w:r>
        <w:separator/>
      </w:r>
    </w:p>
  </w:footnote>
  <w:footnote w:type="continuationSeparator" w:id="0">
    <w:p w:rsidR="00585EB9" w:rsidRDefault="0058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CD"/>
    <w:multiLevelType w:val="hybridMultilevel"/>
    <w:tmpl w:val="19A67F7C"/>
    <w:lvl w:ilvl="0" w:tplc="EF3A4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5441"/>
    <w:multiLevelType w:val="hybridMultilevel"/>
    <w:tmpl w:val="012C40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03338"/>
    <w:multiLevelType w:val="hybridMultilevel"/>
    <w:tmpl w:val="6054F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F264C"/>
    <w:multiLevelType w:val="hybridMultilevel"/>
    <w:tmpl w:val="5842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761"/>
    <w:multiLevelType w:val="hybridMultilevel"/>
    <w:tmpl w:val="7FEE3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25F07"/>
    <w:multiLevelType w:val="hybridMultilevel"/>
    <w:tmpl w:val="C67613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368BE"/>
    <w:multiLevelType w:val="hybridMultilevel"/>
    <w:tmpl w:val="E25A3D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5256C"/>
    <w:multiLevelType w:val="hybridMultilevel"/>
    <w:tmpl w:val="E8A0FE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31B57"/>
    <w:multiLevelType w:val="hybridMultilevel"/>
    <w:tmpl w:val="0AE8B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AA73E6"/>
    <w:multiLevelType w:val="hybridMultilevel"/>
    <w:tmpl w:val="CBD2BED0"/>
    <w:lvl w:ilvl="0" w:tplc="9E1043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2FD56A6"/>
    <w:multiLevelType w:val="hybridMultilevel"/>
    <w:tmpl w:val="6442C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C34FA"/>
    <w:multiLevelType w:val="hybridMultilevel"/>
    <w:tmpl w:val="F5E88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75"/>
    <w:rsid w:val="000031E5"/>
    <w:rsid w:val="00057123"/>
    <w:rsid w:val="00115900"/>
    <w:rsid w:val="00183ED5"/>
    <w:rsid w:val="001F73A4"/>
    <w:rsid w:val="002015E7"/>
    <w:rsid w:val="00422840"/>
    <w:rsid w:val="004339E6"/>
    <w:rsid w:val="00502B6A"/>
    <w:rsid w:val="00525BB6"/>
    <w:rsid w:val="00533191"/>
    <w:rsid w:val="00547D6D"/>
    <w:rsid w:val="00585EB9"/>
    <w:rsid w:val="005C611B"/>
    <w:rsid w:val="005F5535"/>
    <w:rsid w:val="00660675"/>
    <w:rsid w:val="006D7B2A"/>
    <w:rsid w:val="007C5D24"/>
    <w:rsid w:val="00816C8A"/>
    <w:rsid w:val="00824EE0"/>
    <w:rsid w:val="0082578A"/>
    <w:rsid w:val="008E1738"/>
    <w:rsid w:val="00912D2F"/>
    <w:rsid w:val="00960F34"/>
    <w:rsid w:val="00980FC6"/>
    <w:rsid w:val="009C76D7"/>
    <w:rsid w:val="00B1304F"/>
    <w:rsid w:val="00B65269"/>
    <w:rsid w:val="00BF4DE1"/>
    <w:rsid w:val="00C157B2"/>
    <w:rsid w:val="00C34685"/>
    <w:rsid w:val="00CB46A4"/>
    <w:rsid w:val="00D37473"/>
    <w:rsid w:val="00ED09B7"/>
    <w:rsid w:val="00F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BC11D-E3C1-49D0-92E3-DF947C4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0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6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0675"/>
  </w:style>
  <w:style w:type="paragraph" w:styleId="NoSpacing">
    <w:name w:val="No Spacing"/>
    <w:uiPriority w:val="1"/>
    <w:qFormat/>
    <w:rsid w:val="0066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571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3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F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46A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Skenderi</dc:creator>
  <cp:keywords/>
  <dc:description/>
  <cp:lastModifiedBy>Ejup Fejza</cp:lastModifiedBy>
  <cp:revision>6</cp:revision>
  <dcterms:created xsi:type="dcterms:W3CDTF">2019-02-04T10:50:00Z</dcterms:created>
  <dcterms:modified xsi:type="dcterms:W3CDTF">2020-01-30T19:58:00Z</dcterms:modified>
</cp:coreProperties>
</file>