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17" w:rsidRPr="00927F97" w:rsidRDefault="00151A17" w:rsidP="00151A17">
      <w:pPr>
        <w:rPr>
          <w:rFonts w:ascii="Calibri" w:hAnsi="Calibri"/>
          <w:b/>
          <w:sz w:val="28"/>
          <w:szCs w:val="28"/>
        </w:rPr>
      </w:pPr>
      <w:r w:rsidRPr="00927F97">
        <w:rPr>
          <w:rFonts w:ascii="Calibri" w:hAnsi="Calibri"/>
          <w:b/>
          <w:sz w:val="28"/>
          <w:szCs w:val="28"/>
        </w:rPr>
        <w:t xml:space="preserve">Titulli i lëndës: </w:t>
      </w:r>
      <w:r w:rsidR="00580FA2" w:rsidRPr="00927F97">
        <w:rPr>
          <w:b/>
          <w:sz w:val="28"/>
          <w:szCs w:val="28"/>
        </w:rPr>
        <w:t>Bazat e të dhënave</w:t>
      </w:r>
      <w:r w:rsidR="00580FA2" w:rsidRPr="00927F97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5"/>
        <w:gridCol w:w="1537"/>
        <w:gridCol w:w="1770"/>
        <w:gridCol w:w="2044"/>
      </w:tblGrid>
      <w:tr w:rsidR="00151A1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Informatat themelore për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Fakulteti i Shkencave Matemaike Natyrore (FSHMN), Departamenti i Matematikës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Bazat e t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dh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nave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 Shkenc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kompjuterike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F36A2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Viti i dytë / Semestri i tretë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4B559D" w:rsidP="004B559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F36A2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5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C75B65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4B559D"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Departamenti i Matematikës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D903BE" w:rsidP="00D903B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Msc. Artan Berisha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D903BE" w:rsidP="00D903B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artan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.</w:t>
            </w:r>
            <w:r w:rsidR="004B559D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erisha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65" w:rsidRPr="00927F97" w:rsidRDefault="00C75B65" w:rsidP="00C75B6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sq-AL" w:eastAsia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Përpunimi dhe njohja me elementet themelore të bazave  të të dhënave, format  e  paraqitjes së të dhënave, baza relacionale, algjebra relacionale, njohuritë themelore në SQL, procedurat e ruajtura, funksionet, normalizimi i bazës së të dhënave, bazat e të dhënave gjysmë të strukturuara (JSON, XML).</w:t>
            </w:r>
          </w:p>
          <w:p w:rsidR="00193CBB" w:rsidRPr="00927F97" w:rsidRDefault="00193CBB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65" w:rsidRPr="00927F97" w:rsidRDefault="00C75B65" w:rsidP="00C75B65">
            <w:pPr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cs="Times New Roman"/>
              </w:rPr>
              <w:t xml:space="preserve">Dizajnimi i bazës relacionale, njohuri mbi urdhërat DDL, urdhërat DML, tipet e të dhënave, nënpyetsorët, normalizimi  i bazës, elementet themelore  në  JSON dhe XML, transakcionet, QBE (query by example), operatorët logjik, aritmetik, JDBC-ja, ODBC-ja.  </w:t>
            </w:r>
          </w:p>
          <w:p w:rsidR="00193CBB" w:rsidRPr="00927F97" w:rsidRDefault="00193CBB" w:rsidP="00193CBB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927F97" w:rsidRDefault="00193CBB" w:rsidP="00193CBB">
            <w:pPr>
              <w:spacing w:after="0" w:line="240" w:lineRule="auto"/>
              <w:rPr>
                <w:rFonts w:cs="Times New Roman"/>
              </w:rPr>
            </w:pPr>
            <w:r w:rsidRPr="00927F97">
              <w:rPr>
                <w:rFonts w:cs="Times New Roman"/>
              </w:rPr>
              <w:t>Pas përfundimit të këtij kursi (lënde) studenti ës</w:t>
            </w:r>
            <w:r w:rsidRPr="00927F97">
              <w:t>htë i aftë</w:t>
            </w:r>
            <w:r w:rsidRPr="00927F97">
              <w:rPr>
                <w:rFonts w:cs="Times New Roman"/>
              </w:rPr>
              <w:t xml:space="preserve"> që:</w:t>
            </w:r>
          </w:p>
          <w:p w:rsidR="00C75B65" w:rsidRPr="00927F97" w:rsidRDefault="00C75B65" w:rsidP="00C75B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927F97">
              <w:rPr>
                <w:rFonts w:cs="Times New Roman"/>
              </w:rPr>
              <w:t>Të dijë të dizajnojë një bazë të të dhënave</w:t>
            </w:r>
          </w:p>
          <w:p w:rsidR="00C75B65" w:rsidRPr="00927F97" w:rsidRDefault="00C75B65" w:rsidP="00C75B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927F97">
              <w:rPr>
                <w:rFonts w:cs="Times New Roman"/>
              </w:rPr>
              <w:t>Që të dijë të manipulojë me elementet  e  algjebrës relacionale</w:t>
            </w:r>
          </w:p>
          <w:p w:rsidR="00C75B65" w:rsidRPr="00927F97" w:rsidRDefault="00C75B65" w:rsidP="00C75B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927F97">
              <w:rPr>
                <w:rFonts w:cs="Times New Roman"/>
              </w:rPr>
              <w:t xml:space="preserve">Të dijë të manipulojë me urdhërat  themelore në SQL </w:t>
            </w:r>
          </w:p>
          <w:p w:rsidR="00C75B65" w:rsidRPr="00927F97" w:rsidRDefault="00C75B65" w:rsidP="00C75B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927F97">
              <w:rPr>
                <w:rFonts w:cs="Times New Roman"/>
              </w:rPr>
              <w:t>Të bëjë normalizimin e  bazës së të dhënave</w:t>
            </w:r>
          </w:p>
          <w:p w:rsidR="00C75B65" w:rsidRPr="00927F97" w:rsidRDefault="00C75B65" w:rsidP="00C75B6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="Times New Roman"/>
              </w:rPr>
            </w:pPr>
            <w:r w:rsidRPr="00927F97">
              <w:rPr>
                <w:rFonts w:cs="Times New Roman"/>
              </w:rPr>
              <w:t>Të  dijë të ndërtojë bazë të të dhënave në JSON dhe XML, si dhe të ndërtojë pyetësorë në XPath dhe XQuery.</w:t>
            </w:r>
          </w:p>
          <w:p w:rsidR="001738DC" w:rsidRPr="00927F97" w:rsidRDefault="001738DC" w:rsidP="001738DC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927F9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lastRenderedPageBreak/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  <w:r w:rsidR="00863BD1" w:rsidRPr="00927F97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</w:t>
            </w:r>
            <w:r w:rsidR="00863BD1" w:rsidRPr="00927F97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</w:t>
            </w:r>
            <w:r w:rsidR="00863BD1" w:rsidRPr="00927F97">
              <w:rPr>
                <w:rFonts w:ascii="Calibri" w:hAnsi="Calibri" w:cs="Arial"/>
              </w:rPr>
              <w:t>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927F97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27F97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27F97" w:rsidRDefault="00863BD1" w:rsidP="00863BD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927F97">
              <w:rPr>
                <w:rFonts w:cs="Times New Roman"/>
              </w:rPr>
              <w:t>Kjo lëndë shpjegohet përmes ligjëratave, ushtrimeve teorike, punimi seminarik (ku parashihet të realizohet me përcjellje të vazhdueshme të asistentit dhe ligjëruesit  të lëndës).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eastAsia="Times New Roman" w:cs="Times New Roman"/>
                <w:lang w:eastAsia="sq-AL"/>
              </w:rPr>
              <w:t>Seminari:</w:t>
            </w:r>
            <w:r w:rsidRPr="00927F97">
              <w:rPr>
                <w:rFonts w:eastAsia="Times New Roman" w:cs="Times New Roman"/>
                <w:lang w:eastAsia="sq-AL"/>
              </w:rPr>
              <w:tab/>
              <w:t xml:space="preserve"> </w:t>
            </w:r>
            <w:r w:rsidRPr="00927F97">
              <w:rPr>
                <w:rFonts w:eastAsia="Times New Roman" w:cs="Times New Roman"/>
                <w:lang w:eastAsia="sq-AL"/>
              </w:rPr>
              <w:tab/>
              <w:t>20 pikë,</w:t>
            </w:r>
          </w:p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eastAsia="Times New Roman" w:cs="Times New Roman"/>
                <w:lang w:eastAsia="sq-AL"/>
              </w:rPr>
              <w:t>Testi i parë:</w:t>
            </w:r>
            <w:r w:rsidRPr="00927F97">
              <w:rPr>
                <w:rFonts w:eastAsia="Times New Roman" w:cs="Times New Roman"/>
                <w:lang w:eastAsia="sq-AL"/>
              </w:rPr>
              <w:tab/>
              <w:t xml:space="preserve"> </w:t>
            </w:r>
            <w:r w:rsidRPr="00927F97">
              <w:rPr>
                <w:rFonts w:eastAsia="Times New Roman" w:cs="Times New Roman"/>
                <w:lang w:eastAsia="sq-AL"/>
              </w:rPr>
              <w:tab/>
              <w:t>40 pikë,</w:t>
            </w:r>
          </w:p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eastAsia="Times New Roman" w:cs="Times New Roman"/>
                <w:lang w:eastAsia="sq-AL"/>
              </w:rPr>
              <w:t>Testi i dytë:</w:t>
            </w:r>
            <w:r w:rsidRPr="00927F97">
              <w:rPr>
                <w:rFonts w:eastAsia="Times New Roman" w:cs="Times New Roman"/>
                <w:lang w:eastAsia="sq-AL"/>
              </w:rPr>
              <w:tab/>
            </w:r>
            <w:r w:rsidRPr="00927F97">
              <w:rPr>
                <w:rFonts w:eastAsia="Times New Roman" w:cs="Times New Roman"/>
                <w:lang w:eastAsia="sq-AL"/>
              </w:rPr>
              <w:tab/>
              <w:t>40 pikë.</w:t>
            </w:r>
          </w:p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eastAsia="Times New Roman" w:cs="Times New Roman"/>
                <w:lang w:eastAsia="sq-AL"/>
              </w:rPr>
              <w:t>Kusht është që në secilin test studenti të arrijë së paku 20 pikë, pastaj mbledhen të gjitha pikët dhe kriteret për vlerësim janë si mëposhtë:</w:t>
            </w:r>
          </w:p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438"/>
              <w:gridCol w:w="665"/>
            </w:tblGrid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Pikët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Nota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&lt;50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5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&gt;=50 dhe &lt;60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6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&gt;=60 dhe &lt;70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7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&gt;-70 dhe &lt;80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8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&gt;=80 dhe &lt;90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9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&gt;=90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10</w:t>
                  </w:r>
                </w:p>
              </w:tc>
            </w:tr>
          </w:tbl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p w:rsidR="00694277" w:rsidRPr="00927F97" w:rsidRDefault="00863BD1" w:rsidP="00863BD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eastAsia="Times New Roman" w:cs="Times New Roman"/>
                <w:lang w:eastAsia="sq-AL"/>
              </w:rPr>
              <w:t>Pikët e punimit seminarik që janë arritur nga studenti gjatë vijimit të kursit do të vlejnë për çdo afat. Pra studenti i nënshtrohet gjithmonë provimit me maksimum 80 pikë.</w:t>
            </w: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927F9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D1" w:rsidRPr="00927F97" w:rsidRDefault="00863BD1" w:rsidP="00863BD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</w:rPr>
            </w:pPr>
            <w:r w:rsidRPr="00927F97">
              <w:rPr>
                <w:rFonts w:cs="Times New Roman"/>
              </w:rPr>
              <w:t>Database System Concepts, Avi Silberschatz, Henry F. Korth, S. Sudarshan, McGra</w:t>
            </w:r>
            <w:r w:rsidR="00EE1F9A">
              <w:rPr>
                <w:rFonts w:cs="Times New Roman"/>
              </w:rPr>
              <w:t>w</w:t>
            </w:r>
            <w:r w:rsidRPr="00927F97">
              <w:rPr>
                <w:rFonts w:cs="Times New Roman"/>
              </w:rPr>
              <w:t xml:space="preserve"> Hill, 2019</w:t>
            </w:r>
          </w:p>
          <w:p w:rsidR="00694277" w:rsidRPr="000728CA" w:rsidRDefault="00694277" w:rsidP="000728CA">
            <w:pPr>
              <w:spacing w:after="200" w:line="276" w:lineRule="auto"/>
              <w:ind w:left="360"/>
              <w:rPr>
                <w:rFonts w:cs="Times New Roman"/>
              </w:rPr>
            </w:pP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lastRenderedPageBreak/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0728CA" w:rsidRDefault="000728CA" w:rsidP="000728C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</w:rPr>
            </w:pPr>
            <w:r w:rsidRPr="000728CA">
              <w:rPr>
                <w:rFonts w:cs="Times New Roman"/>
              </w:rPr>
              <w:t>Essential SQL on SQL Server 2008, Sigha Bagui, Richard Earp, Jones and Bartlett, 2011</w:t>
            </w:r>
          </w:p>
          <w:p w:rsidR="000728CA" w:rsidRPr="000728CA" w:rsidRDefault="000728CA" w:rsidP="000728C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</w:rPr>
            </w:pPr>
            <w:r w:rsidRPr="000728CA">
              <w:rPr>
                <w:rFonts w:eastAsia="Times New Roman" w:cs="Times New Roman"/>
                <w:bCs/>
                <w:color w:val="000000"/>
                <w:kern w:val="36"/>
                <w:lang w:eastAsia="sq-AL"/>
              </w:rPr>
              <w:t>Database Management Systems,</w:t>
            </w:r>
            <w:r w:rsidRPr="000728CA">
              <w:rPr>
                <w:rFonts w:eastAsia="Times New Roman" w:cs="Times New Roman"/>
                <w:b/>
                <w:bCs/>
                <w:color w:val="000000"/>
                <w:kern w:val="36"/>
                <w:lang w:eastAsia="sq-AL"/>
              </w:rPr>
              <w:t xml:space="preserve"> </w:t>
            </w:r>
            <w:r w:rsidRPr="000728CA">
              <w:rPr>
                <w:rFonts w:eastAsia="Times New Roman" w:cs="Times New Roman"/>
                <w:color w:val="000000"/>
                <w:lang w:eastAsia="sq-AL"/>
              </w:rPr>
              <w:t> </w:t>
            </w:r>
            <w:r w:rsidR="007B2C7F" w:rsidRPr="000728CA">
              <w:rPr>
                <w:rFonts w:eastAsia="Times New Roman" w:cs="Times New Roman"/>
                <w:lang w:eastAsia="sq-AL"/>
              </w:rPr>
              <w:fldChar w:fldCharType="begin"/>
            </w:r>
            <w:r w:rsidRPr="000728CA">
              <w:rPr>
                <w:rFonts w:eastAsia="Times New Roman" w:cs="Times New Roman"/>
                <w:lang w:eastAsia="sq-AL"/>
              </w:rPr>
              <w:instrText xml:space="preserve"> HYPERLINK "http://www.cs.wisc.edu/~raghu" </w:instrText>
            </w:r>
            <w:r w:rsidR="007B2C7F" w:rsidRPr="000728CA">
              <w:rPr>
                <w:rFonts w:eastAsia="Times New Roman" w:cs="Times New Roman"/>
                <w:lang w:eastAsia="sq-AL"/>
              </w:rPr>
              <w:fldChar w:fldCharType="separate"/>
            </w:r>
            <w:r w:rsidRPr="000728CA">
              <w:rPr>
                <w:rFonts w:eastAsia="Times New Roman" w:cs="Times New Roman"/>
                <w:lang w:eastAsia="sq-AL"/>
              </w:rPr>
              <w:t xml:space="preserve">Raghu </w:t>
            </w:r>
          </w:p>
          <w:p w:rsidR="000728CA" w:rsidRDefault="000728CA" w:rsidP="000728CA">
            <w:pPr>
              <w:pStyle w:val="ListParagraph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lang w:eastAsia="sq-AL"/>
              </w:rPr>
            </w:pPr>
            <w:r w:rsidRPr="000728CA">
              <w:rPr>
                <w:rFonts w:eastAsia="Times New Roman" w:cs="Times New Roman"/>
                <w:lang w:eastAsia="sq-AL"/>
              </w:rPr>
              <w:t>Ramakrishnan</w:t>
            </w:r>
            <w:r w:rsidR="007B2C7F" w:rsidRPr="000728CA">
              <w:rPr>
                <w:rFonts w:eastAsia="Times New Roman" w:cs="Times New Roman"/>
                <w:lang w:eastAsia="sq-AL"/>
              </w:rPr>
              <w:fldChar w:fldCharType="end"/>
            </w:r>
            <w:r w:rsidRPr="000728CA">
              <w:rPr>
                <w:rFonts w:eastAsia="Times New Roman" w:cs="Times New Roman"/>
                <w:lang w:eastAsia="sq-AL"/>
              </w:rPr>
              <w:t> and </w:t>
            </w:r>
            <w:hyperlink r:id="rId6" w:history="1">
              <w:r w:rsidRPr="000728CA">
                <w:rPr>
                  <w:rFonts w:eastAsia="Times New Roman" w:cs="Times New Roman"/>
                  <w:lang w:eastAsia="sq-AL"/>
                </w:rPr>
                <w:t>Johannes Gehrke</w:t>
              </w:r>
            </w:hyperlink>
            <w:r>
              <w:rPr>
                <w:rFonts w:eastAsia="Times New Roman" w:cs="Times New Roman"/>
                <w:lang w:eastAsia="sq-AL"/>
              </w:rPr>
              <w:t xml:space="preserve">,    </w:t>
            </w:r>
          </w:p>
          <w:p w:rsidR="00694277" w:rsidRPr="000728CA" w:rsidRDefault="000728CA" w:rsidP="002A1268">
            <w:pPr>
              <w:pStyle w:val="ListParagraph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lang w:eastAsia="sq-AL"/>
              </w:rPr>
            </w:pPr>
            <w:r w:rsidRPr="000728CA">
              <w:rPr>
                <w:rFonts w:cs="Arial"/>
                <w:shd w:val="clear" w:color="auto" w:fill="FFFFFF"/>
              </w:rPr>
              <w:t>McGra</w:t>
            </w:r>
            <w:r w:rsidR="002A1268">
              <w:rPr>
                <w:rFonts w:cs="Arial"/>
                <w:shd w:val="clear" w:color="auto" w:fill="FFFFFF"/>
              </w:rPr>
              <w:t>w</w:t>
            </w:r>
            <w:r w:rsidRPr="000728CA">
              <w:rPr>
                <w:rFonts w:cs="Arial"/>
                <w:shd w:val="clear" w:color="auto" w:fill="FFFFFF"/>
              </w:rPr>
              <w:t>-Hill,</w:t>
            </w:r>
            <w:r>
              <w:rPr>
                <w:rFonts w:cs="Arial"/>
                <w:shd w:val="clear" w:color="auto" w:fill="FFFFFF"/>
              </w:rPr>
              <w:t xml:space="preserve"> 2007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6138"/>
      </w:tblGrid>
      <w:tr w:rsidR="00151A17" w:rsidRPr="00927F9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927F9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Hyrje në baza të të dhënave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Modeli relacional dhe Entity-Relationship</w:t>
            </w:r>
          </w:p>
        </w:tc>
      </w:tr>
      <w:tr w:rsidR="00863BD1" w:rsidRPr="00927F97" w:rsidTr="00863BD1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3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Algjebra relacionale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Dizajnimi i bazës së të dhënave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Normalizimi i bazës së të dhënave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6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99435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Testi i parë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cstheme="minorHAns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 xml:space="preserve">Java </w:t>
            </w:r>
            <w:r w:rsidRPr="00927F97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SQL, urdhërat DDL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Manipu</w:t>
            </w:r>
            <w:r w:rsidR="00B15D4F">
              <w:rPr>
                <w:rFonts w:asciiTheme="minorHAnsi" w:hAnsiTheme="minorHAnsi" w:cs="Arial"/>
                <w:sz w:val="22"/>
                <w:szCs w:val="22"/>
                <w:lang w:val="sq-AL"/>
              </w:rPr>
              <w:t>limi me të dhëna - urdhërat DML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Urdhërat për shikimin e të dhënave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D4F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Përdorimi i operatorë</w:t>
            </w:r>
            <w:r w:rsidR="00B15D4F">
              <w:rPr>
                <w:rFonts w:asciiTheme="minorHAnsi" w:hAnsiTheme="minorHAnsi" w:cs="Arial"/>
                <w:sz w:val="22"/>
                <w:szCs w:val="22"/>
                <w:lang w:val="sq-AL"/>
              </w:rPr>
              <w:t>ve dhe funksioneve të ndryshëm</w:t>
            </w:r>
          </w:p>
          <w:p w:rsidR="00863BD1" w:rsidRPr="00927F97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Tipet e të dhënave në SQL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11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Lidhjet Join, Natural Join, Left/Right Outer Join dhe nënpyetsorët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12</w:t>
            </w:r>
            <w:r w:rsidRPr="00927F9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99435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Entity Relationa Diagram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13</w:t>
            </w:r>
            <w:r w:rsidRPr="00927F97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B58F2">
            <w:pPr>
              <w:pStyle w:val="NoSpacing"/>
              <w:rPr>
                <w:rFonts w:asciiTheme="minorHAnsi" w:hAnsiTheme="minorHAnsi" w:cs="Arial"/>
                <w:b/>
                <w:i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Elementet themelore në </w:t>
            </w:r>
            <w:r w:rsidR="00BB58F2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JSON dhe </w:t>
            </w: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XML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14</w:t>
            </w:r>
            <w:r w:rsidRPr="00927F9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99435D">
            <w:pPr>
              <w:pStyle w:val="NoSpacing"/>
              <w:rPr>
                <w:rFonts w:asciiTheme="minorHAnsi" w:hAnsiTheme="minorHAnsi" w:cs="Arial"/>
                <w:bCs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bCs/>
                <w:sz w:val="22"/>
                <w:szCs w:val="22"/>
                <w:lang w:val="sq-AL"/>
              </w:rPr>
              <w:t>Mbrojtja e punimeve seminarike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15</w:t>
            </w:r>
            <w:r w:rsidRPr="00927F97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99435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Testi i dytë</w:t>
            </w:r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48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863BD1" w:rsidRPr="00927F97" w:rsidTr="00927F97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63BD1" w:rsidRPr="00927F97" w:rsidRDefault="00863BD1" w:rsidP="00927F97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927F97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863BD1" w:rsidRPr="00927F97" w:rsidTr="00927F97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D1" w:rsidRPr="00927F97" w:rsidRDefault="00863BD1" w:rsidP="00927F97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:rsidR="00863BD1" w:rsidRPr="00927F97" w:rsidRDefault="00863BD1" w:rsidP="00927F97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927F97">
              <w:rPr>
                <w:rFonts w:cstheme="minorHAnsi"/>
                <w:i/>
              </w:rPr>
              <w:t>Vijueshmëria e ligjëratave dhe ushtrimeve laboratorike është obligative.</w:t>
            </w:r>
          </w:p>
          <w:p w:rsidR="00863BD1" w:rsidRPr="00927F97" w:rsidRDefault="00863BD1" w:rsidP="00927F97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CA2D9E" w:rsidRPr="00927F97" w:rsidRDefault="00CA2D9E"/>
    <w:sectPr w:rsidR="00CA2D9E" w:rsidRPr="00927F97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2C"/>
    <w:multiLevelType w:val="hybridMultilevel"/>
    <w:tmpl w:val="412CBCD6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43E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E1C79"/>
    <w:multiLevelType w:val="hybridMultilevel"/>
    <w:tmpl w:val="EE2EE67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E866A1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A17"/>
    <w:rsid w:val="000728CA"/>
    <w:rsid w:val="00104403"/>
    <w:rsid w:val="00151A17"/>
    <w:rsid w:val="00170CA1"/>
    <w:rsid w:val="001738DC"/>
    <w:rsid w:val="00193CBB"/>
    <w:rsid w:val="002A1268"/>
    <w:rsid w:val="00305F34"/>
    <w:rsid w:val="003F180F"/>
    <w:rsid w:val="004B559D"/>
    <w:rsid w:val="00511664"/>
    <w:rsid w:val="00580FA2"/>
    <w:rsid w:val="0064486E"/>
    <w:rsid w:val="006719D4"/>
    <w:rsid w:val="00694277"/>
    <w:rsid w:val="007B2C7F"/>
    <w:rsid w:val="00862B57"/>
    <w:rsid w:val="00863BD1"/>
    <w:rsid w:val="00915079"/>
    <w:rsid w:val="00927F97"/>
    <w:rsid w:val="00B15D4F"/>
    <w:rsid w:val="00B77049"/>
    <w:rsid w:val="00BB58F2"/>
    <w:rsid w:val="00BD00CE"/>
    <w:rsid w:val="00C75B65"/>
    <w:rsid w:val="00C94581"/>
    <w:rsid w:val="00CA2D9E"/>
    <w:rsid w:val="00CC4846"/>
    <w:rsid w:val="00CE3421"/>
    <w:rsid w:val="00D903BE"/>
    <w:rsid w:val="00E56A57"/>
    <w:rsid w:val="00E9695B"/>
    <w:rsid w:val="00EB70CC"/>
    <w:rsid w:val="00EE1F9A"/>
    <w:rsid w:val="00F36A2E"/>
    <w:rsid w:val="00F4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paragraph" w:styleId="Heading1">
    <w:name w:val="heading 1"/>
    <w:basedOn w:val="Normal"/>
    <w:link w:val="Heading1Char"/>
    <w:uiPriority w:val="9"/>
    <w:qFormat/>
    <w:rsid w:val="0007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,Colorful List - Accent 12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tertatu ne tab Char,Colorful List - Accent 12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basedOn w:val="DefaultParagraphFont"/>
    <w:link w:val="NoSpacing"/>
    <w:uiPriority w:val="99"/>
    <w:rsid w:val="00C75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3B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728CA"/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character" w:styleId="Strong">
    <w:name w:val="Strong"/>
    <w:basedOn w:val="DefaultParagraphFont"/>
    <w:uiPriority w:val="22"/>
    <w:qFormat/>
    <w:rsid w:val="00072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apple-converted-space">
    <w:name w:val="apple-converted-space"/>
    <w:basedOn w:val="DefaultParagraphFont"/>
    <w:rsid w:val="000728CA"/>
  </w:style>
  <w:style w:type="character" w:styleId="Hyperlink">
    <w:name w:val="Hyperlink"/>
    <w:basedOn w:val="DefaultParagraphFont"/>
    <w:uiPriority w:val="99"/>
    <w:semiHidden/>
    <w:unhideWhenUsed/>
    <w:rsid w:val="00072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.cornell.edu/johan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1D94E2-4EAF-4A1C-A791-3BE10434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Artan</cp:lastModifiedBy>
  <cp:revision>15</cp:revision>
  <dcterms:created xsi:type="dcterms:W3CDTF">2020-01-24T15:16:00Z</dcterms:created>
  <dcterms:modified xsi:type="dcterms:W3CDTF">2020-02-03T17:40:00Z</dcterms:modified>
</cp:coreProperties>
</file>