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B91A3B">
        <w:rPr>
          <w:rFonts w:ascii="Calibri" w:hAnsi="Calibri"/>
          <w:b/>
          <w:sz w:val="28"/>
          <w:szCs w:val="28"/>
        </w:rPr>
        <w:t>Analiz</w:t>
      </w:r>
      <w:r w:rsidR="00522860">
        <w:rPr>
          <w:rFonts w:ascii="Calibri" w:hAnsi="Calibri"/>
          <w:b/>
          <w:sz w:val="28"/>
          <w:szCs w:val="28"/>
        </w:rPr>
        <w:t>a</w:t>
      </w:r>
      <w:r w:rsidR="00B91A3B">
        <w:rPr>
          <w:rFonts w:ascii="Calibri" w:hAnsi="Calibri"/>
          <w:b/>
          <w:sz w:val="28"/>
          <w:szCs w:val="28"/>
        </w:rPr>
        <w:t xml:space="preserve"> e të dhënave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 Natyrore (FSHMN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91A3B" w:rsidP="0052286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Analiz</w:t>
            </w:r>
            <w:r w:rsidR="00522860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e të dhënave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Shkencë Kompjuterike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91A3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91A3B" w:rsidP="00B91A3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tret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gjashtë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D27A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BF4488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BA1DE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Departamenti i Matematikës,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7F18A5" w:rsidRDefault="00193CBB" w:rsidP="001D27AE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18A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Dr. </w:t>
            </w:r>
            <w:r w:rsidR="001D27AE">
              <w:rPr>
                <w:rFonts w:asciiTheme="minorHAnsi" w:eastAsiaTheme="minorHAnsi" w:hAnsiTheme="minorHAnsi" w:cstheme="minorBidi"/>
                <w:sz w:val="22"/>
                <w:szCs w:val="22"/>
              </w:rPr>
              <w:t>Eliot Bytyçi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1D27A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eliot.bytyci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A3B" w:rsidRDefault="00B91A3B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</w:pPr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Kursi përmban pesë pjesë kryesore, duke filluar me </w:t>
            </w:r>
            <w:proofErr w:type="spellStart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paraprocesimin</w:t>
            </w:r>
            <w:proofErr w:type="spellEnd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e të dhënave, që përfshin pjesën më të madhe të kohës gjatë analizës të </w:t>
            </w:r>
            <w:proofErr w:type="spellStart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të</w:t>
            </w:r>
            <w:proofErr w:type="spellEnd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dhënave, pastaj vazhdohet me </w:t>
            </w:r>
            <w:proofErr w:type="spellStart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vizualizim</w:t>
            </w:r>
            <w:proofErr w:type="spellEnd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, modele parashikuese, analizë të lidhjeve në mes të </w:t>
            </w:r>
            <w:proofErr w:type="spellStart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të</w:t>
            </w:r>
            <w:proofErr w:type="spellEnd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dhënave, grupim të </w:t>
            </w:r>
            <w:proofErr w:type="spellStart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>të</w:t>
            </w:r>
            <w:proofErr w:type="spellEnd"/>
            <w:r w:rsidRPr="00B91A3B">
              <w:rPr>
                <w:rFonts w:asciiTheme="minorHAnsi" w:hAnsiTheme="minorHAnsi" w:cstheme="minorHAnsi"/>
                <w:color w:val="000000"/>
                <w:sz w:val="22"/>
                <w:szCs w:val="22"/>
                <w:lang w:val="sq-AL"/>
              </w:rPr>
              <w:t xml:space="preserve"> dhënave dhe detektim të anomalive.</w:t>
            </w:r>
          </w:p>
          <w:p w:rsidR="00193CBB" w:rsidRPr="00BA1DE5" w:rsidRDefault="00193CBB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93CBB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Parakushtet: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4C2ED0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dhe algoritmet, Struktura e të dhënave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193CBB" w:rsidRDefault="00B91A3B" w:rsidP="00B91A3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B91A3B">
              <w:rPr>
                <w:rFonts w:cs="Times New Roman"/>
              </w:rPr>
              <w:t xml:space="preserve">Njohja e studentëve me konceptet themelore dhe algoritmet e caktuara për secilën pjesë kryesore të lëndës, duke ju dhënë kështu atyre mundësinë e aplikimit të modeleve të analizës të </w:t>
            </w:r>
            <w:proofErr w:type="spellStart"/>
            <w:r w:rsidRPr="00B91A3B">
              <w:rPr>
                <w:rFonts w:cs="Times New Roman"/>
              </w:rPr>
              <w:t>të</w:t>
            </w:r>
            <w:proofErr w:type="spellEnd"/>
            <w:r w:rsidRPr="00B91A3B">
              <w:rPr>
                <w:rFonts w:cs="Times New Roman"/>
              </w:rPr>
              <w:t xml:space="preserve"> dhënave në problemet reale.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Default="00193CBB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821A69">
              <w:rPr>
                <w:rFonts w:cs="Times New Roman"/>
              </w:rPr>
              <w:t>Pas përfundimit</w:t>
            </w:r>
            <w:r w:rsidR="00A839AE">
              <w:rPr>
                <w:rFonts w:cs="Times New Roman"/>
              </w:rPr>
              <w:t xml:space="preserve"> të këtij kursi (lënde) studentët</w:t>
            </w:r>
            <w:r w:rsidRPr="00821A69">
              <w:rPr>
                <w:rFonts w:cs="Times New Roman"/>
              </w:rPr>
              <w:t xml:space="preserve"> </w:t>
            </w:r>
            <w:r w:rsidR="00A839AE">
              <w:rPr>
                <w:rFonts w:cs="Times New Roman"/>
              </w:rPr>
              <w:t>do të jenë të</w:t>
            </w:r>
            <w:r>
              <w:t xml:space="preserve"> aftë</w:t>
            </w:r>
            <w:r w:rsidRPr="00821A69">
              <w:rPr>
                <w:rFonts w:cs="Times New Roman"/>
              </w:rPr>
              <w:t xml:space="preserve"> që:</w:t>
            </w:r>
          </w:p>
          <w:p w:rsidR="00B91A3B" w:rsidRPr="00B91A3B" w:rsidRDefault="00B91A3B" w:rsidP="00B9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1A3B">
              <w:rPr>
                <w:rFonts w:cs="Times New Roman"/>
              </w:rPr>
              <w:t xml:space="preserve">manipulojnë me të dhëna që përdoren për analizë; </w:t>
            </w:r>
          </w:p>
          <w:p w:rsidR="00B91A3B" w:rsidRPr="00B91A3B" w:rsidRDefault="00B91A3B" w:rsidP="00B9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1A3B">
              <w:rPr>
                <w:rFonts w:cs="Times New Roman"/>
              </w:rPr>
              <w:t xml:space="preserve">kuptojnë modelet parashikuese dhe algoritmet e tyre; </w:t>
            </w:r>
          </w:p>
          <w:p w:rsidR="00B91A3B" w:rsidRPr="00B91A3B" w:rsidRDefault="00B91A3B" w:rsidP="00B9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1A3B">
              <w:rPr>
                <w:rFonts w:cs="Times New Roman"/>
              </w:rPr>
              <w:t xml:space="preserve">gjejnë lidhjet në mes të </w:t>
            </w:r>
            <w:proofErr w:type="spellStart"/>
            <w:r w:rsidRPr="00B91A3B">
              <w:rPr>
                <w:rFonts w:cs="Times New Roman"/>
              </w:rPr>
              <w:t>të</w:t>
            </w:r>
            <w:proofErr w:type="spellEnd"/>
            <w:r w:rsidRPr="00B91A3B">
              <w:rPr>
                <w:rFonts w:cs="Times New Roman"/>
              </w:rPr>
              <w:t xml:space="preserve"> dhënave dhe përdorimin e algoritmeve të tyre; </w:t>
            </w:r>
          </w:p>
          <w:p w:rsidR="00B91A3B" w:rsidRPr="00B91A3B" w:rsidRDefault="00B91A3B" w:rsidP="00B9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1A3B">
              <w:rPr>
                <w:rFonts w:cs="Times New Roman"/>
              </w:rPr>
              <w:t xml:space="preserve">grupojnë të dhënat në bazë të karakteristikave të përbashkëta; </w:t>
            </w:r>
          </w:p>
          <w:p w:rsidR="00B91A3B" w:rsidRPr="00B91A3B" w:rsidRDefault="00B91A3B" w:rsidP="00B9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B91A3B">
              <w:rPr>
                <w:rFonts w:cs="Times New Roman"/>
              </w:rPr>
              <w:t xml:space="preserve">detektojnë shfaqjen e anomalive, dhe në fund </w:t>
            </w:r>
          </w:p>
          <w:p w:rsidR="001738DC" w:rsidRPr="00A839AE" w:rsidRDefault="00B91A3B" w:rsidP="00B9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B91A3B">
              <w:rPr>
                <w:rFonts w:cs="Times New Roman"/>
              </w:rPr>
              <w:t>vizualizojnë</w:t>
            </w:r>
            <w:proofErr w:type="spellEnd"/>
            <w:r w:rsidRPr="00B91A3B">
              <w:rPr>
                <w:rFonts w:cs="Times New Roman"/>
              </w:rPr>
              <w:t xml:space="preserve"> rezultatet e të gjitha teknikave të përmendura</w:t>
            </w:r>
            <w:r>
              <w:rPr>
                <w:rFonts w:cs="Times New Roman"/>
              </w:rPr>
              <w:t>.</w:t>
            </w:r>
          </w:p>
        </w:tc>
      </w:tr>
      <w:tr w:rsidR="00193CBB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A839AE" w:rsidP="00A839A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A839AE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7F18A5">
              <w:rPr>
                <w:rFonts w:cs="Arial"/>
                <w:lang w:val="en-US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30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4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7F18A5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D70653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D70653" w:rsidP="00D70653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483E8E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7F18A5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94277" w:rsidRPr="00BA1DE5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FD66A5" w:rsidP="00FD66A5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160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694277" w:rsidRDefault="00694277" w:rsidP="0035116D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69427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Kuiz</w:t>
            </w:r>
            <w:proofErr w:type="spellEnd"/>
            <w:r>
              <w:rPr>
                <w:rFonts w:cstheme="minorHAnsi"/>
              </w:rPr>
              <w:t xml:space="preserve"> në klasë</w:t>
            </w:r>
            <w:r w:rsidR="00694277" w:rsidRPr="00694277">
              <w:rPr>
                <w:rFonts w:cstheme="minorHAnsi"/>
              </w:rPr>
              <w:t>:</w:t>
            </w:r>
            <w:r w:rsidR="00694277">
              <w:rPr>
                <w:rFonts w:cstheme="minorHAnsi"/>
              </w:rPr>
              <w:t xml:space="preserve"> 10%</w:t>
            </w:r>
          </w:p>
          <w:p w:rsidR="00694277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 w:rsidRPr="00FD66A5">
              <w:rPr>
                <w:rFonts w:cstheme="minorHAnsi"/>
              </w:rPr>
              <w:t>Detyra/Projekti 1: 1</w:t>
            </w:r>
            <w:r w:rsidR="00694277" w:rsidRPr="00FD66A5">
              <w:rPr>
                <w:rFonts w:cstheme="minorHAnsi"/>
              </w:rPr>
              <w:t>0%</w:t>
            </w:r>
          </w:p>
          <w:p w:rsidR="00694277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 w:rsidRPr="00FD66A5">
              <w:rPr>
                <w:rFonts w:cstheme="minorHAnsi"/>
              </w:rPr>
              <w:t>Detyra/Projekti 2: 1</w:t>
            </w:r>
            <w:r w:rsidR="00694277" w:rsidRPr="00FD66A5">
              <w:rPr>
                <w:rFonts w:cstheme="minorHAnsi"/>
              </w:rPr>
              <w:t>0%</w:t>
            </w:r>
          </w:p>
          <w:p w:rsidR="00FD66A5" w:rsidRPr="00FD66A5" w:rsidRDefault="00FD66A5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Provimi periodik: 20%</w:t>
            </w:r>
          </w:p>
          <w:p w:rsidR="00694277" w:rsidRPr="00694277" w:rsidRDefault="00694277" w:rsidP="0035116D">
            <w:p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Provimi final: </w:t>
            </w:r>
            <w:r w:rsidR="00FD66A5">
              <w:rPr>
                <w:rFonts w:cstheme="minorHAnsi"/>
              </w:rPr>
              <w:t>5</w:t>
            </w:r>
            <w:r>
              <w:rPr>
                <w:rFonts w:cstheme="minorHAnsi"/>
              </w:rPr>
              <w:t>0%</w:t>
            </w:r>
          </w:p>
        </w:tc>
      </w:tr>
      <w:tr w:rsidR="00694277" w:rsidRPr="00BA1DE5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BA1DE5" w:rsidRDefault="00694277" w:rsidP="0035116D">
            <w:pPr>
              <w:pStyle w:val="NoSpacing"/>
              <w:spacing w:line="24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BA1DE5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7F18A5" w:rsidRDefault="00B91A3B" w:rsidP="0035116D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B91A3B">
              <w:rPr>
                <w:rFonts w:cs="Times New Roman"/>
                <w:lang w:val="en-US"/>
              </w:rPr>
              <w:t xml:space="preserve">P. Tan, M. Steinbach, A. </w:t>
            </w:r>
            <w:proofErr w:type="spellStart"/>
            <w:r w:rsidRPr="00B91A3B">
              <w:rPr>
                <w:rFonts w:cs="Times New Roman"/>
                <w:lang w:val="en-US"/>
              </w:rPr>
              <w:t>Karpatne</w:t>
            </w:r>
            <w:proofErr w:type="spellEnd"/>
            <w:r w:rsidRPr="00B91A3B">
              <w:rPr>
                <w:rFonts w:cs="Times New Roman"/>
                <w:lang w:val="en-US"/>
              </w:rPr>
              <w:t>, Y. Kumar, Introduction to data mining  (2nd edition), Pearson 2018</w:t>
            </w:r>
          </w:p>
        </w:tc>
      </w:tr>
      <w:tr w:rsidR="00694277" w:rsidRPr="00BA1DE5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BA1DE5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FD66A5" w:rsidRDefault="00B91A3B" w:rsidP="0035116D">
            <w:pPr>
              <w:spacing w:after="0" w:line="240" w:lineRule="auto"/>
              <w:jc w:val="both"/>
              <w:rPr>
                <w:rFonts w:cs="Times New Roman"/>
              </w:rPr>
            </w:pPr>
            <w:r w:rsidRPr="00B91A3B">
              <w:rPr>
                <w:rFonts w:cs="Times New Roman"/>
              </w:rPr>
              <w:t xml:space="preserve">J. Han, Data </w:t>
            </w:r>
            <w:proofErr w:type="spellStart"/>
            <w:r w:rsidRPr="00B91A3B">
              <w:rPr>
                <w:rFonts w:cs="Times New Roman"/>
              </w:rPr>
              <w:t>mining</w:t>
            </w:r>
            <w:proofErr w:type="spellEnd"/>
            <w:r w:rsidRPr="00B91A3B">
              <w:rPr>
                <w:rFonts w:cs="Times New Roman"/>
              </w:rPr>
              <w:t xml:space="preserve">: </w:t>
            </w:r>
            <w:proofErr w:type="spellStart"/>
            <w:r w:rsidRPr="00B91A3B">
              <w:rPr>
                <w:rFonts w:cs="Times New Roman"/>
              </w:rPr>
              <w:t>Concepts</w:t>
            </w:r>
            <w:proofErr w:type="spellEnd"/>
            <w:r w:rsidRPr="00B91A3B">
              <w:rPr>
                <w:rFonts w:cs="Times New Roman"/>
              </w:rPr>
              <w:t xml:space="preserve"> </w:t>
            </w:r>
            <w:proofErr w:type="spellStart"/>
            <w:r w:rsidRPr="00B91A3B">
              <w:rPr>
                <w:rFonts w:cs="Times New Roman"/>
              </w:rPr>
              <w:t>and</w:t>
            </w:r>
            <w:proofErr w:type="spellEnd"/>
            <w:r w:rsidRPr="00B91A3B">
              <w:rPr>
                <w:rFonts w:cs="Times New Roman"/>
              </w:rPr>
              <w:t xml:space="preserve"> </w:t>
            </w:r>
            <w:proofErr w:type="spellStart"/>
            <w:r w:rsidRPr="00B91A3B">
              <w:rPr>
                <w:rFonts w:cs="Times New Roman"/>
              </w:rPr>
              <w:t>techniques</w:t>
            </w:r>
            <w:proofErr w:type="spellEnd"/>
            <w:r w:rsidRPr="00B91A3B">
              <w:rPr>
                <w:rFonts w:cs="Times New Roman"/>
              </w:rPr>
              <w:t xml:space="preserve">, </w:t>
            </w:r>
            <w:proofErr w:type="spellStart"/>
            <w:r w:rsidRPr="00B91A3B">
              <w:rPr>
                <w:rFonts w:cs="Times New Roman"/>
              </w:rPr>
              <w:t>Morgan</w:t>
            </w:r>
            <w:proofErr w:type="spellEnd"/>
            <w:r w:rsidRPr="00B91A3B">
              <w:rPr>
                <w:rFonts w:cs="Times New Roman"/>
              </w:rPr>
              <w:t xml:space="preserve"> </w:t>
            </w:r>
            <w:proofErr w:type="spellStart"/>
            <w:r w:rsidRPr="00B91A3B">
              <w:rPr>
                <w:rFonts w:cs="Times New Roman"/>
              </w:rPr>
              <w:t>Kaufman</w:t>
            </w:r>
            <w:proofErr w:type="spellEnd"/>
            <w:r w:rsidRPr="00B91A3B">
              <w:rPr>
                <w:rFonts w:cs="Times New Roman"/>
              </w:rPr>
              <w:t>, 2012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>
              <w:t>Ligjëratë</w:t>
            </w:r>
            <w:r w:rsidR="00694277">
              <w:t xml:space="preserve">: </w:t>
            </w:r>
            <w:r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7F18A5" w:rsidRDefault="00915079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Lexim</w:t>
            </w:r>
            <w:r w:rsidR="00694277">
              <w:rPr>
                <w:rFonts w:cstheme="minorHAnsi"/>
                <w:color w:val="000000"/>
              </w:rPr>
              <w:t xml:space="preserve">: </w:t>
            </w:r>
            <w:proofErr w:type="spellStart"/>
            <w:r>
              <w:rPr>
                <w:rFonts w:cstheme="minorHAnsi"/>
                <w:color w:val="000000"/>
              </w:rPr>
              <w:t>Syllabusi</w:t>
            </w:r>
            <w:proofErr w:type="spellEnd"/>
            <w:r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t>Ligjëratë</w:t>
            </w:r>
            <w:r w:rsidR="00694277">
              <w:t>:</w:t>
            </w:r>
            <w:r w:rsidR="00694277">
              <w:rPr>
                <w:rFonts w:cs="Arial"/>
                <w:bCs/>
              </w:rPr>
              <w:t xml:space="preserve"> </w:t>
            </w:r>
            <w:r w:rsidR="0020110D">
              <w:rPr>
                <w:rFonts w:cs="Arial"/>
                <w:bCs/>
              </w:rPr>
              <w:t xml:space="preserve">Hyrje, historiku dhe bazat e </w:t>
            </w:r>
            <w:r w:rsidR="00B474B9">
              <w:rPr>
                <w:rFonts w:cs="Arial"/>
                <w:bCs/>
              </w:rPr>
              <w:t xml:space="preserve">analizës të </w:t>
            </w:r>
            <w:proofErr w:type="spellStart"/>
            <w:r w:rsidR="00B474B9">
              <w:rPr>
                <w:rFonts w:cs="Arial"/>
                <w:bCs/>
              </w:rPr>
              <w:t>të</w:t>
            </w:r>
            <w:proofErr w:type="spellEnd"/>
            <w:r w:rsidR="00B474B9">
              <w:rPr>
                <w:rFonts w:cs="Arial"/>
                <w:bCs/>
              </w:rPr>
              <w:t xml:space="preserve"> dhënave</w:t>
            </w:r>
          </w:p>
          <w:p w:rsidR="00694277" w:rsidRPr="00597FA6" w:rsidRDefault="00915079" w:rsidP="00694277">
            <w:pPr>
              <w:spacing w:after="0" w:line="240" w:lineRule="exact"/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694277">
              <w:t xml:space="preserve"> </w:t>
            </w:r>
            <w:r w:rsidR="00D00707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1</w:t>
            </w:r>
          </w:p>
          <w:p w:rsidR="00694277" w:rsidRPr="00862B57" w:rsidRDefault="00862B57" w:rsidP="0020110D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t xml:space="preserve">Përcaktimi i </w:t>
            </w:r>
            <w:r w:rsidR="0020110D">
              <w:rPr>
                <w:rFonts w:cs="Arial"/>
                <w:bCs/>
              </w:rPr>
              <w:t>projekteve të para</w:t>
            </w:r>
          </w:p>
        </w:tc>
      </w:tr>
      <w:tr w:rsidR="00694277" w:rsidRPr="00BA1DE5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EF59A2">
              <w:t>Le të njohim të</w:t>
            </w:r>
            <w:r w:rsidR="005B005B">
              <w:t xml:space="preserve"> dhënat</w:t>
            </w:r>
          </w:p>
          <w:p w:rsidR="00694277" w:rsidRPr="00862B57" w:rsidRDefault="00915079" w:rsidP="0020110D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20110D">
              <w:t>Literatura primare</w:t>
            </w:r>
            <w:r w:rsidR="00694277">
              <w:t xml:space="preserve">, </w:t>
            </w:r>
            <w:r>
              <w:t>Kapitulli</w:t>
            </w:r>
            <w:r w:rsidR="0020110D">
              <w:t xml:space="preserve"> 2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597FA6">
              <w:t xml:space="preserve">: </w:t>
            </w:r>
            <w:proofErr w:type="spellStart"/>
            <w:r w:rsidR="00EF59A2">
              <w:t>Paraprocesimi</w:t>
            </w:r>
            <w:proofErr w:type="spellEnd"/>
            <w:r w:rsidR="00EF59A2">
              <w:t xml:space="preserve"> i të dhënave</w:t>
            </w:r>
            <w:r w:rsidR="00694277">
              <w:t xml:space="preserve"> </w:t>
            </w:r>
          </w:p>
          <w:p w:rsidR="00694277" w:rsidRPr="00E273FE" w:rsidRDefault="00915079" w:rsidP="00EF59A2">
            <w:pPr>
              <w:spacing w:after="0" w:line="240" w:lineRule="exact"/>
              <w:rPr>
                <w:lang w:val="en-US"/>
              </w:rPr>
            </w:pPr>
            <w:r>
              <w:t>Lexim</w:t>
            </w:r>
            <w:r w:rsidR="00694277">
              <w:t xml:space="preserve">: </w:t>
            </w:r>
            <w:r w:rsidR="0020110D">
              <w:t xml:space="preserve">Literatura </w:t>
            </w:r>
            <w:r w:rsidR="00EF59A2">
              <w:t>shtesë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CA3316">
              <w:t>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>
              <w:t xml:space="preserve">: </w:t>
            </w:r>
            <w:r w:rsidR="005B005B">
              <w:t xml:space="preserve">Klasifikimi – teknika </w:t>
            </w:r>
            <w:r w:rsidR="00EF59A2">
              <w:t>fillestare</w:t>
            </w:r>
          </w:p>
          <w:p w:rsidR="00694277" w:rsidRPr="00597FA6" w:rsidRDefault="00915079" w:rsidP="0050496D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</w:t>
            </w:r>
            <w:r w:rsidR="0050496D">
              <w:t>Literatura primare,</w:t>
            </w:r>
            <w:r w:rsidR="00694277">
              <w:t xml:space="preserve"> </w:t>
            </w:r>
            <w:r>
              <w:t>Kapitulli</w:t>
            </w:r>
            <w:r w:rsidR="00EF59A2">
              <w:t xml:space="preserve"> 3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9466D1">
              <w:t xml:space="preserve">: </w:t>
            </w:r>
            <w:r w:rsidR="005B005B">
              <w:t>Klasifikimi – teknika alternative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972B1C">
              <w:t xml:space="preserve"> </w:t>
            </w:r>
            <w:r w:rsidR="00972B1C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CA3316">
              <w:t>4</w:t>
            </w:r>
          </w:p>
          <w:p w:rsidR="00694277" w:rsidRPr="00862B57" w:rsidRDefault="00862B57" w:rsidP="0050496D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694277" w:rsidRPr="009466D1">
              <w:t>Pre</w:t>
            </w:r>
            <w:r>
              <w:t>zantim</w:t>
            </w:r>
            <w:r w:rsidR="00694277" w:rsidRPr="009466D1">
              <w:t xml:space="preserve"> </w:t>
            </w:r>
            <w:r w:rsidR="0050496D">
              <w:t>i projekteve të para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50496D">
              <w:t xml:space="preserve">: </w:t>
            </w:r>
            <w:r w:rsidR="00CA3316">
              <w:t>Klasifikimi – teknika alternative</w:t>
            </w:r>
          </w:p>
          <w:p w:rsidR="00694277" w:rsidRPr="00862B57" w:rsidRDefault="00915079" w:rsidP="00972B1C">
            <w:pPr>
              <w:spacing w:after="0" w:line="240" w:lineRule="exact"/>
            </w:pPr>
            <w:r>
              <w:t>Lexim</w:t>
            </w:r>
            <w:r w:rsidR="00694277">
              <w:t xml:space="preserve">: 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CA3316">
              <w:t xml:space="preserve"> 4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0CC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CA3316">
              <w:t xml:space="preserve"> </w:t>
            </w:r>
            <w:r w:rsidR="00CA3316">
              <w:t>Klasifikimi – teknika alternative</w:t>
            </w:r>
          </w:p>
          <w:p w:rsidR="00694277" w:rsidRPr="0050496D" w:rsidRDefault="00915079" w:rsidP="00972B1C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A50709">
              <w:t xml:space="preserve"> </w:t>
            </w:r>
            <w:r w:rsidR="00CA3316">
              <w:t>4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</w:pPr>
            <w:r>
              <w:t>Ligjëratë</w:t>
            </w:r>
            <w:r w:rsidR="00694277" w:rsidRPr="002976B2">
              <w:t xml:space="preserve">: </w:t>
            </w:r>
            <w:r w:rsidR="00972B1C">
              <w:t>Provimi periodik</w:t>
            </w:r>
          </w:p>
          <w:p w:rsidR="00694277" w:rsidRPr="00EB70CC" w:rsidRDefault="00915079" w:rsidP="00972B1C">
            <w:pPr>
              <w:spacing w:after="0" w:line="240" w:lineRule="exact"/>
              <w:jc w:val="both"/>
            </w:pPr>
            <w:r>
              <w:t>Lexim</w:t>
            </w:r>
            <w:r w:rsidR="00694277">
              <w:t xml:space="preserve">: 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CA3316">
              <w:t>Analiza e asociacioneve – konceptet themelore</w:t>
            </w:r>
          </w:p>
          <w:p w:rsidR="00694277" w:rsidRPr="00EB70CC" w:rsidRDefault="00915079" w:rsidP="00972B1C">
            <w:pPr>
              <w:spacing w:after="0" w:line="240" w:lineRule="exact"/>
            </w:pPr>
            <w:r>
              <w:t>Lexim</w:t>
            </w:r>
            <w:r w:rsidR="00694277">
              <w:t xml:space="preserve">:  </w:t>
            </w:r>
            <w:r w:rsidR="00A14E92">
              <w:t>Literatura primare</w:t>
            </w:r>
            <w:r w:rsidR="00694277">
              <w:t xml:space="preserve">, </w:t>
            </w:r>
            <w:r>
              <w:t>Kapitulli</w:t>
            </w:r>
            <w:r w:rsidR="00694277">
              <w:t xml:space="preserve"> </w:t>
            </w:r>
            <w:r w:rsidR="00972B1C">
              <w:t>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r w:rsidR="00CA3316">
              <w:t>Analiza e asociacioneve – konceptet t</w:t>
            </w:r>
            <w:r w:rsidR="00972B1C">
              <w:t>hemelore</w:t>
            </w:r>
          </w:p>
          <w:p w:rsidR="00CC4846" w:rsidRPr="0050496D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972B1C">
              <w:t>, Kapitulli 5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 w:rsidRPr="002976B2">
              <w:t xml:space="preserve">: </w:t>
            </w:r>
            <w:r w:rsidR="00972B1C">
              <w:t xml:space="preserve">Analiza e </w:t>
            </w:r>
            <w:proofErr w:type="spellStart"/>
            <w:r w:rsidR="00972B1C">
              <w:t>klusterëve</w:t>
            </w:r>
            <w:proofErr w:type="spellEnd"/>
            <w:r w:rsidR="00972B1C">
              <w:t xml:space="preserve"> – koncepte themelore</w:t>
            </w:r>
          </w:p>
          <w:p w:rsidR="00CC4846" w:rsidRPr="00CC4846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14E92">
              <w:t xml:space="preserve"> Literatura primare</w:t>
            </w:r>
            <w:r w:rsidR="00972B1C">
              <w:t>, Kapitulli 7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C82500">
              <w:rPr>
                <w:rFonts w:cs="Arial"/>
                <w:bCs/>
              </w:rPr>
              <w:t xml:space="preserve"> </w:t>
            </w:r>
            <w:r w:rsidR="00972B1C">
              <w:t xml:space="preserve"> </w:t>
            </w:r>
            <w:r w:rsidR="00972B1C">
              <w:t xml:space="preserve">Analiza e </w:t>
            </w:r>
            <w:proofErr w:type="spellStart"/>
            <w:r w:rsidR="00972B1C">
              <w:t>klusterëve</w:t>
            </w:r>
            <w:proofErr w:type="spellEnd"/>
            <w:r w:rsidR="00972B1C">
              <w:t xml:space="preserve"> – koncepte themelore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14E92">
              <w:t>Literatura primare</w:t>
            </w:r>
            <w:r w:rsidR="00972B1C">
              <w:t>, Kapitulli 7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Ligjëratë</w:t>
            </w:r>
            <w:r w:rsidR="00694277">
              <w:rPr>
                <w:rFonts w:cs="Arial"/>
                <w:bCs/>
              </w:rPr>
              <w:t xml:space="preserve">: </w:t>
            </w:r>
            <w:r w:rsidR="00972B1C">
              <w:t xml:space="preserve"> Detektimi i anomalive</w:t>
            </w:r>
          </w:p>
          <w:p w:rsidR="00694277" w:rsidRPr="00CC4846" w:rsidRDefault="00915079" w:rsidP="00A50709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Lexim</w:t>
            </w:r>
            <w:r w:rsidR="00694277">
              <w:rPr>
                <w:rFonts w:cs="Arial"/>
                <w:bCs/>
              </w:rPr>
              <w:t xml:space="preserve">: </w:t>
            </w:r>
            <w:r w:rsidR="00A50709">
              <w:t>Literatura primare</w:t>
            </w:r>
            <w:r w:rsidR="00972B1C">
              <w:t>, Kapitulli 9</w:t>
            </w:r>
          </w:p>
        </w:tc>
      </w:tr>
      <w:tr w:rsidR="00694277" w:rsidRPr="00BA1DE5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Default="00915079" w:rsidP="00694277">
            <w:pPr>
              <w:spacing w:after="0" w:line="240" w:lineRule="exact"/>
            </w:pPr>
            <w:r>
              <w:t>Ligjëratë</w:t>
            </w:r>
            <w:r w:rsidR="00694277">
              <w:t xml:space="preserve">: </w:t>
            </w:r>
            <w:proofErr w:type="spellStart"/>
            <w:r w:rsidR="00EF59A2">
              <w:t>Trendet</w:t>
            </w:r>
            <w:proofErr w:type="spellEnd"/>
            <w:r w:rsidR="00EF59A2">
              <w:t xml:space="preserve"> dhe hulumtimi</w:t>
            </w:r>
          </w:p>
          <w:p w:rsidR="00694277" w:rsidRDefault="00915079" w:rsidP="00694277">
            <w:pPr>
              <w:spacing w:after="0" w:line="240" w:lineRule="exact"/>
            </w:pPr>
            <w:r>
              <w:t>Lexim</w:t>
            </w:r>
            <w:r w:rsidR="00694277">
              <w:t xml:space="preserve">: </w:t>
            </w:r>
            <w:r w:rsidR="00A50709">
              <w:t xml:space="preserve">Literatura </w:t>
            </w:r>
            <w:r w:rsidR="00EF59A2">
              <w:t>shtesë, Kapitulli 13</w:t>
            </w:r>
          </w:p>
          <w:p w:rsidR="00694277" w:rsidRPr="00CC4846" w:rsidRDefault="00862B57" w:rsidP="0050496D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</w:rPr>
              <w:t>Seminare/Projekte</w:t>
            </w:r>
            <w:r w:rsidR="00694277">
              <w:rPr>
                <w:rFonts w:cs="Arial"/>
                <w:bCs/>
              </w:rPr>
              <w:t xml:space="preserve">: </w:t>
            </w:r>
            <w:r w:rsidR="00CC4846">
              <w:rPr>
                <w:rFonts w:cs="Arial"/>
                <w:bCs/>
              </w:rPr>
              <w:t xml:space="preserve"> </w:t>
            </w:r>
            <w:proofErr w:type="spellStart"/>
            <w:r w:rsidR="0050496D">
              <w:rPr>
                <w:rFonts w:cs="Arial"/>
                <w:bCs/>
              </w:rPr>
              <w:t>Prezentimi</w:t>
            </w:r>
            <w:proofErr w:type="spellEnd"/>
            <w:r w:rsidR="0050496D">
              <w:rPr>
                <w:rFonts w:cs="Arial"/>
                <w:bCs/>
              </w:rPr>
              <w:t xml:space="preserve"> i projekteve të dyta</w:t>
            </w: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BA1DE5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9A" w:rsidRPr="00782B49" w:rsidRDefault="00782B49" w:rsidP="00AE223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Studentët duhet të vijnë me rregull dhe në kohë në ligjërata, ushtrime e provime. Ata duhet t'i kontribuojnë një procesi mësimor konstruktiv dhe t'i ndjekin udhëzimet e instruktorit. Studentët inkurajohen të vijnë në konsultime. Detyrat e shtëpisë duhet të shkruhen individualisht, por studentët inkurajohen të bisedojnë me kolegë në lidhje me detyrat me kushtin që shënohen emrat e kolegëve me të cilët është diskutuar dhe/ose resurset që janë përdorur. Pandershmëria akademike do të ndëshkohet ashpër.</w:t>
            </w:r>
            <w:r w:rsidRPr="00782B49">
              <w:rPr>
                <w:rFonts w:cstheme="minorHAnsi"/>
              </w:rPr>
              <w:t xml:space="preserve"> </w:t>
            </w:r>
            <w:r w:rsidR="00F4439A" w:rsidRPr="00782B49">
              <w:rPr>
                <w:rFonts w:cstheme="minorHAnsi"/>
              </w:rPr>
              <w:t xml:space="preserve">Vijueshmëria e ligjëratave dhe ushtrimeve laboratorike është </w:t>
            </w:r>
            <w:proofErr w:type="spellStart"/>
            <w:r w:rsidR="00F4439A" w:rsidRPr="00782B49">
              <w:rPr>
                <w:rFonts w:cstheme="minorHAnsi"/>
              </w:rPr>
              <w:t>obligative</w:t>
            </w:r>
            <w:proofErr w:type="spellEnd"/>
            <w:r w:rsidR="00F4439A" w:rsidRPr="00782B49">
              <w:rPr>
                <w:rFonts w:cstheme="minorHAnsi"/>
              </w:rPr>
              <w:t>.</w:t>
            </w:r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bookmarkStart w:id="1" w:name="_GoBack"/>
            <w:bookmarkEnd w:id="1"/>
          </w:p>
          <w:p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151A17" w:rsidRDefault="00151A17" w:rsidP="00151A17">
      <w:pPr>
        <w:pStyle w:val="NoSpacing"/>
        <w:rPr>
          <w:szCs w:val="28"/>
          <w:lang w:val="sq-AL"/>
        </w:rPr>
      </w:pPr>
    </w:p>
    <w:p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7"/>
    <w:rsid w:val="00104403"/>
    <w:rsid w:val="00151A17"/>
    <w:rsid w:val="00153F49"/>
    <w:rsid w:val="00170CA1"/>
    <w:rsid w:val="001738DC"/>
    <w:rsid w:val="00193CBB"/>
    <w:rsid w:val="001D27AE"/>
    <w:rsid w:val="0020110D"/>
    <w:rsid w:val="0035116D"/>
    <w:rsid w:val="004C2ED0"/>
    <w:rsid w:val="0050496D"/>
    <w:rsid w:val="00522860"/>
    <w:rsid w:val="005B005B"/>
    <w:rsid w:val="0064486E"/>
    <w:rsid w:val="006719D4"/>
    <w:rsid w:val="00694277"/>
    <w:rsid w:val="00782B49"/>
    <w:rsid w:val="00862B57"/>
    <w:rsid w:val="00915079"/>
    <w:rsid w:val="00972B1C"/>
    <w:rsid w:val="00A14E92"/>
    <w:rsid w:val="00A50709"/>
    <w:rsid w:val="00A839AE"/>
    <w:rsid w:val="00AE2236"/>
    <w:rsid w:val="00B474B9"/>
    <w:rsid w:val="00B91A3B"/>
    <w:rsid w:val="00BD00CE"/>
    <w:rsid w:val="00BF4488"/>
    <w:rsid w:val="00C82500"/>
    <w:rsid w:val="00C94581"/>
    <w:rsid w:val="00CA2D9E"/>
    <w:rsid w:val="00CA3316"/>
    <w:rsid w:val="00CC27D3"/>
    <w:rsid w:val="00CC4846"/>
    <w:rsid w:val="00D00707"/>
    <w:rsid w:val="00D70653"/>
    <w:rsid w:val="00EB70CC"/>
    <w:rsid w:val="00EF59A2"/>
    <w:rsid w:val="00F4439A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A7F9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link w:val="NoSpacing"/>
    <w:uiPriority w:val="1"/>
    <w:locked/>
    <w:rsid w:val="00BF4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Eliot Bytyçi</cp:lastModifiedBy>
  <cp:revision>6</cp:revision>
  <dcterms:created xsi:type="dcterms:W3CDTF">2020-01-30T11:57:00Z</dcterms:created>
  <dcterms:modified xsi:type="dcterms:W3CDTF">2020-01-31T09:40:00Z</dcterms:modified>
</cp:coreProperties>
</file>