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1F4" w:rsidRPr="00123F10" w:rsidRDefault="008021F4" w:rsidP="00123F1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24C17" w:rsidRPr="00AD3E1E" w:rsidRDefault="00124C17" w:rsidP="00123F10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AD3E1E">
        <w:rPr>
          <w:rFonts w:ascii="Times New Roman" w:hAnsi="Times New Roman"/>
          <w:b/>
          <w:sz w:val="24"/>
          <w:szCs w:val="24"/>
        </w:rPr>
        <w:t>Lënda</w:t>
      </w:r>
      <w:proofErr w:type="spellEnd"/>
      <w:r w:rsidRPr="00AD3E1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AD3E1E">
        <w:rPr>
          <w:rFonts w:ascii="Times New Roman" w:hAnsi="Times New Roman"/>
          <w:b/>
          <w:sz w:val="24"/>
          <w:szCs w:val="24"/>
        </w:rPr>
        <w:t>Metodat</w:t>
      </w:r>
      <w:proofErr w:type="spellEnd"/>
      <w:r w:rsidRPr="00AD3E1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D3E1E">
        <w:rPr>
          <w:rFonts w:ascii="Times New Roman" w:hAnsi="Times New Roman"/>
          <w:b/>
          <w:sz w:val="24"/>
          <w:szCs w:val="24"/>
        </w:rPr>
        <w:t>Elektroanalitike</w:t>
      </w:r>
      <w:proofErr w:type="spellEnd"/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</w:tblGrid>
      <w:tr w:rsidR="00123F10" w:rsidRPr="00AD3E1E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AD3E1E" w:rsidRDefault="00123F10" w:rsidP="00123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M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simdh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sit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:  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Prof.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Vata, </w:t>
            </w:r>
            <w:r w:rsid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Prof. dr. </w:t>
            </w:r>
            <w:r w:rsidRPr="00AD3E1E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>Fatbardh Gashi</w:t>
            </w:r>
          </w:p>
          <w:p w:rsidR="00123F10" w:rsidRPr="00AD3E1E" w:rsidRDefault="00123F10" w:rsidP="00123F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</w:p>
        </w:tc>
      </w:tr>
      <w:tr w:rsidR="00123F10" w:rsidRPr="00AD3E1E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AD3E1E" w:rsidRDefault="00123F10" w:rsidP="00123F1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Statusi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nd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ë</w:t>
            </w: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</w:t>
            </w:r>
            <w:proofErr w:type="spellEnd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Obligative</w:t>
            </w:r>
            <w:proofErr w:type="spellEnd"/>
          </w:p>
          <w:p w:rsidR="00123F10" w:rsidRPr="00AD3E1E" w:rsidRDefault="00123F10" w:rsidP="00123F1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3E1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 10</w:t>
            </w:r>
          </w:p>
        </w:tc>
      </w:tr>
      <w:tr w:rsidR="00123F10" w:rsidRPr="00123F10" w:rsidTr="00AD3E1E">
        <w:trPr>
          <w:trHeight w:val="70"/>
        </w:trPr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123F1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123F1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P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rmbajtja e l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nd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ë</w:t>
            </w: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Bazat, definicionet dhe konceptet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 Jonet, elektrolit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t, ngarkesa. Elementi i Galvanit dhe elektroliza.Celulat elektrokimike, vetit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termodinamike dhe potenciali elektrodik. Bazat e kinetik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 dhe mekanizmat e reaksioneve elektrokimike. Proceset Faradeike dhe jofaradeike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elektroda. Proceset e kontrolluara me difuzion dhe kinetikw.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Metodat elektroanalitike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Potenciometria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: Elektrodat referente dhe indikatore. Titullimet potenciometrike. P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rcaktimi i pik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 pwrfundimtare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titullimit.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Voltametria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 Polarografia klasike; elektroda pikuese e merkurit, rryma difuzive, ekuacioni i val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 polarografike. Vala polarografike kinetike dhe kaltalitike. Mekanizmi ECE i reakcionit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elektrod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s. Rryma kufitare e kontrolluar me adsorbim dhe formim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filmit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sipwrfaqe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elektrod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s. Polarografia me rrym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nj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kah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she dhe alternative. Voltametria me ndryshim linear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potencialit dhe voltamertria ciklike. Voltametria pulsive dhe voltametria diferenciale pulsive; polarografia. Metodat e analiz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s me shkrierje (“stripping”). Voltametria me shkrierje anodike dhe voltametria me shkrierje katodike.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Elektrogravimetria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 Potenciali i precipitimit dhe koha e elektrolizws. Reaksionet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anoda.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Kulometria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me kontroll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potencilait dhe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rrymws.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Konduktometria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 Kontributi i disa llojve jonike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rçueshm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ri molare. Matja e p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rcjellshm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ris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elektrike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tret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sirave.Konduktometria direkte dhe titullimi konduktometrik. </w:t>
            </w:r>
            <w:r w:rsidRPr="00123F10">
              <w:rPr>
                <w:rFonts w:ascii="Times New Roman" w:hAnsi="Times New Roman"/>
                <w:i/>
                <w:color w:val="000000"/>
                <w:sz w:val="24"/>
                <w:szCs w:val="24"/>
                <w:lang w:val="it-IT"/>
              </w:rPr>
              <w:t>Spektroelektrokimia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. Aspektet elektrokimike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metodave moderne mikroskopike STM dhe AFM.</w:t>
            </w:r>
          </w:p>
          <w:p w:rsidR="00123F10" w:rsidRPr="00123F10" w:rsidRDefault="00AD3E1E" w:rsidP="00123F10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Qëllimi i lëndës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 Thellim i njohurive  nga bazat teorike të elektrokimisë, përdorimi i teknikave të ndryshme elektrokimike, zhvillimi i kompetencave të bazuara në njohuritë e domosdoshme për punë shkencore hulumtuese.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 w:rsidRPr="00123F10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R</w:t>
            </w:r>
            <w:r w:rsidR="00AD3E1E"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ezultatet e pritura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: Aft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simi i kandidat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ve q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n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m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>nyr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pavarur t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ё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zgjedhin problemet nga fusha e hulumtimit.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lastRenderedPageBreak/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etodologjia e mësimdhwnies</w:t>
            </w: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 xml:space="preserve">:  </w:t>
            </w: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Ligjërata, diskutime, seminare ,ushtrime laboratorike, konsultime, detyra shtëpie, provime.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etodat e vlerësimit</w:t>
            </w:r>
            <w:r w:rsidRPr="00123F10">
              <w:rPr>
                <w:rFonts w:ascii="Times New Roman" w:hAnsi="Times New Roman"/>
                <w:b/>
                <w:sz w:val="24"/>
                <w:szCs w:val="24"/>
                <w:lang w:val="sq-AL"/>
              </w:rPr>
              <w:t>:</w:t>
            </w: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</w:t>
            </w:r>
            <w:r w:rsidRPr="00123F10">
              <w:rPr>
                <w:rFonts w:ascii="Times New Roman" w:hAnsi="Times New Roman"/>
                <w:sz w:val="24"/>
                <w:szCs w:val="24"/>
                <w:lang w:val="it-IT"/>
              </w:rPr>
              <w:t>provim me shkrim dhe me goj</w:t>
            </w:r>
            <w:r w:rsidRPr="00123F10">
              <w:rPr>
                <w:rFonts w:ascii="Times New Roman" w:hAnsi="Times New Roman"/>
                <w:sz w:val="24"/>
                <w:szCs w:val="24"/>
              </w:rPr>
              <w:t>ё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123F10" w:rsidP="00AD3E1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F10">
              <w:rPr>
                <w:rFonts w:ascii="Times New Roman" w:hAnsi="Times New Roman"/>
                <w:b/>
                <w:sz w:val="24"/>
                <w:szCs w:val="24"/>
              </w:rPr>
              <w:t>M</w:t>
            </w:r>
            <w:r w:rsidR="00AD3E1E">
              <w:rPr>
                <w:rFonts w:ascii="Times New Roman" w:hAnsi="Times New Roman"/>
                <w:b/>
                <w:sz w:val="24"/>
                <w:szCs w:val="24"/>
              </w:rPr>
              <w:t>jetet</w:t>
            </w:r>
            <w:proofErr w:type="spellEnd"/>
            <w:r w:rsidR="00AD3E1E">
              <w:rPr>
                <w:rFonts w:ascii="Times New Roman" w:hAnsi="Times New Roman"/>
                <w:b/>
                <w:sz w:val="24"/>
                <w:szCs w:val="24"/>
              </w:rPr>
              <w:t xml:space="preserve"> e </w:t>
            </w:r>
            <w:proofErr w:type="spellStart"/>
            <w:r w:rsidR="00AD3E1E">
              <w:rPr>
                <w:rFonts w:ascii="Times New Roman" w:hAnsi="Times New Roman"/>
                <w:b/>
                <w:sz w:val="24"/>
                <w:szCs w:val="24"/>
              </w:rPr>
              <w:t>konkretizimit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ligjerata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tabela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modelet</w:t>
            </w:r>
            <w:proofErr w:type="spellEnd"/>
            <w:proofErr w:type="gramStart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kompjuteri</w:t>
            </w:r>
            <w:proofErr w:type="spellEnd"/>
            <w:proofErr w:type="gram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videoprojektori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markera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), 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për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laborator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mjetet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veglat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dhe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aparaturat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punës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në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laboratorin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 e </w:t>
            </w:r>
            <w:proofErr w:type="spellStart"/>
            <w:r w:rsidRPr="00123F10">
              <w:rPr>
                <w:rFonts w:ascii="Times New Roman" w:hAnsi="Times New Roman"/>
                <w:sz w:val="24"/>
                <w:szCs w:val="24"/>
              </w:rPr>
              <w:t>kimisë</w:t>
            </w:r>
            <w:proofErr w:type="spellEnd"/>
            <w:r w:rsidRPr="00123F10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123F10" w:rsidRPr="00123F10" w:rsidTr="00B87716">
        <w:tc>
          <w:tcPr>
            <w:tcW w:w="9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3F10" w:rsidRPr="00123F10" w:rsidRDefault="00AD3E1E" w:rsidP="00123F10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it-IT"/>
              </w:rPr>
              <w:t>Literatura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  <w:lang w:val="it-IT"/>
              </w:rPr>
              <w:t xml:space="preserve"> : </w:t>
            </w:r>
          </w:p>
          <w:p w:rsidR="00123F10" w:rsidRPr="00123F10" w:rsidRDefault="00F533E4" w:rsidP="00123F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A.J. Bard,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>L. R. Faulkner. Electrochemical Methods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6F234B" w:rsidRPr="006F2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</w:t>
            </w:r>
            <w:r w:rsidR="00942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 w:rsidR="00942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>&amp;</w:t>
            </w:r>
            <w:r w:rsidR="009420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>Sons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 w:rsidR="006F234B"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3F10" w:rsidRPr="00942047" w:rsidRDefault="00942047" w:rsidP="00942047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J. Wang: Analytical Electrochemistry,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 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Sons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3F10" w:rsidRPr="00123F10" w:rsidRDefault="00942047" w:rsidP="00123F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H.H.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Girault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Analytical and Physical Electrochemistry, 1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EPFL 2004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3F10" w:rsidRPr="00123F10" w:rsidRDefault="00942047" w:rsidP="00123F10">
            <w:pPr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V. S.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Bogotsky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Fundamentals of Electrochemistry. 2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 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Sons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="00123F10"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123F10" w:rsidRPr="00123F10" w:rsidRDefault="00123F10" w:rsidP="00942047">
            <w:pPr>
              <w:spacing w:after="0" w:line="360" w:lineRule="auto"/>
              <w:ind w:left="36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124C17" w:rsidRPr="00123F10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p w:rsidR="00124C17" w:rsidRPr="00123F10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736"/>
        <w:gridCol w:w="1559"/>
        <w:gridCol w:w="1944"/>
      </w:tblGrid>
      <w:tr w:rsidR="00124C17" w:rsidRPr="00123F10" w:rsidTr="00B87716">
        <w:tc>
          <w:tcPr>
            <w:tcW w:w="8856" w:type="dxa"/>
            <w:gridSpan w:val="4"/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Kontributi ne ngarkesën e studentit ( gjë që duhet të korrespondoj me rezultatet e të nxënit të studentit)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Aktiviteti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Orë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Ditë/javë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Gjithsej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Ligjërata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teorike/laboratorike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Punë praktike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Kontaktet me mësimdhënësin/konsultimet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Ushtrime  në teren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Kollokfiume, seminare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Detyra të  shtëpisë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studimit vetanak të studentit (në bibliotekë ose në shtëpi)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AD3E1E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</w:t>
            </w:r>
            <w:r w:rsidR="00AD3E1E">
              <w:rPr>
                <w:rFonts w:ascii="Times New Roman" w:hAnsi="Times New Roman"/>
                <w:sz w:val="24"/>
                <w:szCs w:val="24"/>
                <w:lang w:val="sq-AL"/>
              </w:rPr>
              <w:t>0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Përgatitja përfundimtare për provim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Koha e kaluar në vlerësim (teste, kuiz, provim final)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Projektet, prezantimet ,etj.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FFFFFF"/>
          </w:tcPr>
          <w:p w:rsidR="00124C17" w:rsidRPr="00123F10" w:rsidRDefault="00124C17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124C17" w:rsidRPr="00123F10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:rsidR="00124C17" w:rsidRPr="00123F10" w:rsidRDefault="00124C17" w:rsidP="00123F1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Totali </w:t>
            </w: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62</w:t>
            </w:r>
          </w:p>
        </w:tc>
        <w:tc>
          <w:tcPr>
            <w:tcW w:w="1944" w:type="dxa"/>
            <w:tcBorders>
              <w:left w:val="single" w:sz="4" w:space="0" w:color="auto"/>
            </w:tcBorders>
            <w:shd w:val="clear" w:color="auto" w:fill="D9D9D9"/>
          </w:tcPr>
          <w:p w:rsidR="00124C17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124C17" w:rsidRDefault="00124C17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9799" w:type="dxa"/>
        <w:tblLook w:val="04A0" w:firstRow="1" w:lastRow="0" w:firstColumn="1" w:lastColumn="0" w:noHBand="0" w:noVBand="1"/>
      </w:tblPr>
      <w:tblGrid>
        <w:gridCol w:w="9799"/>
      </w:tblGrid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Subject: Electroanalytical Methods</w:t>
            </w:r>
          </w:p>
          <w:p w:rsidR="004B5BAA" w:rsidRPr="004B5BAA" w:rsidRDefault="004B5BAA" w:rsidP="004B5BA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nl-NL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Lecturer: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Fetah Podvorica , </w:t>
            </w:r>
            <w:r w:rsidRPr="004B5BAA">
              <w:rPr>
                <w:rFonts w:ascii="Times New Roman" w:hAnsi="Times New Roman"/>
                <w:b/>
                <w:sz w:val="24"/>
                <w:szCs w:val="24"/>
              </w:rPr>
              <w:t xml:space="preserve">Prof. </w:t>
            </w:r>
            <w:proofErr w:type="spellStart"/>
            <w:r w:rsidRPr="004B5BAA">
              <w:rPr>
                <w:rFonts w:ascii="Times New Roman" w:hAnsi="Times New Roman"/>
                <w:b/>
                <w:sz w:val="24"/>
                <w:szCs w:val="24"/>
              </w:rPr>
              <w:t>dr</w:t>
            </w:r>
            <w:proofErr w:type="spellEnd"/>
            <w:r w:rsidRPr="004B5BAA">
              <w:rPr>
                <w:rFonts w:ascii="Times New Roman" w:hAnsi="Times New Roman"/>
                <w:b/>
                <w:sz w:val="24"/>
                <w:szCs w:val="24"/>
                <w:lang w:val="nl-NL"/>
              </w:rPr>
              <w:t xml:space="preserve"> Ramë Vata, Prof. dr. Fatbardh Gashi</w:t>
            </w:r>
          </w:p>
          <w:p w:rsid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5BA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status:  Obligatory</w:t>
            </w:r>
          </w:p>
          <w:p w:rsidR="004B5BAA" w:rsidRPr="004B5BAA" w:rsidRDefault="004B5BAA" w:rsidP="004B5BAA">
            <w:pPr>
              <w:spacing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ECTS: 10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Default="004B5BAA" w:rsidP="00B8771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37F4B">
              <w:rPr>
                <w:rFonts w:ascii="Times New Roman" w:hAnsi="Times New Roman"/>
                <w:b/>
              </w:rPr>
              <w:t>MODULE CONTENT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Basics, definitions and concepts. Ions, electrolytes, charged particles. Galvan’s element and electrolysis. Electrochemical cells, thermodynamic properties and potential of electrodes. Kinetics basics and mechanisms of electrochemical reactions. Faraday’s and non-Faraday’s processes in electrodes. Processes controlled with diffusion and kinetics.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Electroanalytic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methods.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Potentiometry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Referent and indicating electrodes. Potentiometric titration. Determination of equivalent point of titration.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Classic polarography; drop electrode of mercury, diffusive current,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polarographic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wave equation. Kinetic and catalytic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polarographic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wave. ECE mechanism of electrode reaction. Polarography with direct and alternating current.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linear potential change and cyclic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Pulsive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differential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pulsive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; polarography. Anodic and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catodic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stripping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voltametry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Electrogravimetry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Precipitation potential and electrolysis time. Reactions in anodes.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Coulometry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with potential and current control.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Conductometry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Determination of electric conductivity of solutions. Direct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conductometry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and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conductometric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titration. </w:t>
            </w:r>
            <w:proofErr w:type="spellStart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Spectroelectrochemistry</w:t>
            </w:r>
            <w:proofErr w:type="spellEnd"/>
            <w:r w:rsidRPr="003B55BE">
              <w:rPr>
                <w:rFonts w:ascii="Times New Roman" w:hAnsi="Times New Roman"/>
                <w:color w:val="000000"/>
                <w:sz w:val="24"/>
                <w:szCs w:val="24"/>
              </w:rPr>
              <w:t>. Electrochemical aspects of modern microscopic methods.</w:t>
            </w:r>
          </w:p>
          <w:p w:rsidR="004B5BAA" w:rsidRPr="00763B90" w:rsidRDefault="004B5BAA" w:rsidP="00B87716">
            <w:pP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COURSE GOALS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 Knowledge expansion on theoretical basis of electrochemistry, usage of various electrochemical techniques, competency development needed for research work.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EXPECTED RESULTS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Capability of candidates to individually resolve problems from the research field.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EVALUATION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METHOD 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>: test and oral exam</w:t>
            </w:r>
          </w:p>
        </w:tc>
      </w:tr>
      <w:tr w:rsidR="004B5BAA" w:rsidRPr="00C4168C" w:rsidTr="00B87716">
        <w:tc>
          <w:tcPr>
            <w:tcW w:w="9799" w:type="dxa"/>
            <w:shd w:val="clear" w:color="auto" w:fill="auto"/>
          </w:tcPr>
          <w:p w:rsidR="004B5BAA" w:rsidRPr="00C4168C" w:rsidRDefault="004B5BAA" w:rsidP="00B8771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TEACHING METHODOLOGY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Lectures,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seminars, 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discussions, laboratory exercises,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consultations, homework, tests, </w:t>
            </w:r>
            <w:proofErr w:type="gramStart"/>
            <w:r w:rsidRPr="00187FA9">
              <w:rPr>
                <w:rFonts w:ascii="Times New Roman" w:hAnsi="Times New Roman"/>
                <w:sz w:val="24"/>
                <w:szCs w:val="24"/>
              </w:rPr>
              <w:t>exams</w:t>
            </w:r>
            <w:proofErr w:type="gramEnd"/>
            <w:r w:rsidRPr="00187F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B5BAA" w:rsidRPr="00C4168C" w:rsidTr="00B87716">
        <w:tc>
          <w:tcPr>
            <w:tcW w:w="9799" w:type="dxa"/>
            <w:shd w:val="clear" w:color="auto" w:fill="auto"/>
          </w:tcPr>
          <w:p w:rsidR="004B5BAA" w:rsidRPr="00C4168C" w:rsidRDefault="004B5BAA" w:rsidP="00B877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CONCRETIZATION TOOLS</w:t>
            </w:r>
            <w:r w:rsidRPr="00187FA9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187FA9">
              <w:rPr>
                <w:rFonts w:ascii="Times New Roman" w:hAnsi="Times New Roman"/>
                <w:sz w:val="24"/>
                <w:szCs w:val="24"/>
              </w:rPr>
              <w:t xml:space="preserve"> table, computer, video projector and marker</w:t>
            </w:r>
          </w:p>
        </w:tc>
      </w:tr>
      <w:tr w:rsidR="004B5BAA" w:rsidRPr="00763B90" w:rsidTr="00B87716">
        <w:tc>
          <w:tcPr>
            <w:tcW w:w="9799" w:type="dxa"/>
            <w:shd w:val="clear" w:color="auto" w:fill="auto"/>
          </w:tcPr>
          <w:p w:rsidR="004B5BAA" w:rsidRPr="00763B90" w:rsidRDefault="004B5BAA" w:rsidP="00B87716">
            <w:pPr>
              <w:spacing w:line="36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B9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LITERATURE</w:t>
            </w:r>
            <w:r w:rsidRPr="00763B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</w:p>
          <w:p w:rsidR="00942047" w:rsidRPr="00123F10" w:rsidRDefault="00942047" w:rsidP="0094204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A.J. Bard,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L. R. Faulkner. Electrochemical Methods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F234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 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Sons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2001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047" w:rsidRPr="00942047" w:rsidRDefault="00942047" w:rsidP="0094204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J. Wang: Analytical Electrochemistry,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rd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 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Sons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047" w:rsidRPr="00123F10" w:rsidRDefault="00942047" w:rsidP="0094204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H.H.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Girault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Analytical and Physical Electrochemistry, 1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EPFL 2004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942047" w:rsidRPr="00123F10" w:rsidRDefault="00942047" w:rsidP="00942047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V. S.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Bogotsky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Fundamentals of Electrochemistry. 2</w:t>
            </w:r>
            <w:r w:rsidRPr="00942047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Ed. J. 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Wiley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Sons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New York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2006</w:t>
            </w:r>
            <w:r w:rsidRPr="00123F1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4B5BAA" w:rsidRPr="00763B90" w:rsidRDefault="004B5BAA" w:rsidP="00942047">
            <w:pPr>
              <w:spacing w:after="0" w:line="360" w:lineRule="auto"/>
              <w:ind w:left="36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5BAA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4B5BAA" w:rsidRPr="00046E34" w:rsidTr="00B87716">
        <w:tc>
          <w:tcPr>
            <w:tcW w:w="8856" w:type="dxa"/>
            <w:gridSpan w:val="4"/>
            <w:shd w:val="clear" w:color="auto" w:fill="B8CCE4"/>
          </w:tcPr>
          <w:p w:rsidR="004B5BAA" w:rsidRPr="00046E34" w:rsidRDefault="004B5BAA" w:rsidP="00B8771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Contribution on student load (must correspond with learning outcomes)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Activity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Hours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Days/week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Lectures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Exercise laboratory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Practice 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Contact with lecturer/consultations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10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Field exercises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Mid-terms, seminars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Individual time spent studying (at the library or home)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30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180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Final preparation for the exam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24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Time spent in evaluation (tests, final exam)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6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6E34">
              <w:rPr>
                <w:rFonts w:ascii="Times New Roman" w:hAnsi="Times New Roman"/>
                <w:sz w:val="24"/>
                <w:szCs w:val="24"/>
              </w:rPr>
              <w:t>Projects, presentations, etc.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123F10">
              <w:rPr>
                <w:rFonts w:ascii="Times New Roman" w:hAnsi="Times New Roman"/>
                <w:sz w:val="24"/>
                <w:szCs w:val="24"/>
                <w:lang w:val="sq-AL"/>
              </w:rPr>
              <w:t>-</w:t>
            </w:r>
          </w:p>
        </w:tc>
      </w:tr>
      <w:tr w:rsidR="004B5BAA" w:rsidRPr="00046E34" w:rsidTr="00B87716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:rsidR="004B5BAA" w:rsidRPr="00046E34" w:rsidRDefault="004B5BAA" w:rsidP="00B877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46E34">
              <w:rPr>
                <w:rFonts w:ascii="Times New Roman" w:hAnsi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17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62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:rsidR="004B5BAA" w:rsidRPr="00123F10" w:rsidRDefault="004B5BAA" w:rsidP="004B5BAA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r>
              <w:rPr>
                <w:rFonts w:ascii="Times New Roman" w:hAnsi="Times New Roman"/>
                <w:sz w:val="24"/>
                <w:szCs w:val="24"/>
                <w:lang w:val="sq-AL"/>
              </w:rPr>
              <w:t>250</w:t>
            </w:r>
          </w:p>
        </w:tc>
      </w:tr>
    </w:tbl>
    <w:p w:rsidR="004B5BAA" w:rsidRPr="00123F10" w:rsidRDefault="004B5BAA" w:rsidP="00123F10">
      <w:pPr>
        <w:jc w:val="both"/>
        <w:rPr>
          <w:rFonts w:ascii="Times New Roman" w:hAnsi="Times New Roman"/>
          <w:sz w:val="24"/>
          <w:szCs w:val="24"/>
        </w:rPr>
      </w:pPr>
    </w:p>
    <w:sectPr w:rsidR="004B5BAA" w:rsidRPr="00123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8AD"/>
    <w:multiLevelType w:val="hybridMultilevel"/>
    <w:tmpl w:val="380A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BC0BE7"/>
    <w:multiLevelType w:val="hybridMultilevel"/>
    <w:tmpl w:val="380A3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7"/>
    <w:rsid w:val="00123F10"/>
    <w:rsid w:val="00124C17"/>
    <w:rsid w:val="004B5BAA"/>
    <w:rsid w:val="006F234B"/>
    <w:rsid w:val="008021F4"/>
    <w:rsid w:val="00942047"/>
    <w:rsid w:val="00AD3E1E"/>
    <w:rsid w:val="00B86E8F"/>
    <w:rsid w:val="00CE13D9"/>
    <w:rsid w:val="00DD7817"/>
    <w:rsid w:val="00F5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19F13-1360-488D-9AB9-7B3AD324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17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24C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124C17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dr. PODVORICA</dc:creator>
  <cp:lastModifiedBy>Windows User</cp:lastModifiedBy>
  <cp:revision>2</cp:revision>
  <dcterms:created xsi:type="dcterms:W3CDTF">2020-02-05T09:34:00Z</dcterms:created>
  <dcterms:modified xsi:type="dcterms:W3CDTF">2020-02-05T09:34:00Z</dcterms:modified>
</cp:coreProperties>
</file>