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6F" w:rsidRPr="00117F15" w:rsidRDefault="00CF116F">
      <w:pPr>
        <w:rPr>
          <w:rFonts w:ascii="Calibri" w:hAnsi="Calibri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1364"/>
        <w:gridCol w:w="1725"/>
        <w:gridCol w:w="1967"/>
      </w:tblGrid>
      <w:tr w:rsidR="00CF116F" w:rsidRPr="007E250F" w:rsidTr="00E643B3">
        <w:tc>
          <w:tcPr>
            <w:tcW w:w="8630" w:type="dxa"/>
            <w:gridSpan w:val="4"/>
            <w:shd w:val="clear" w:color="auto" w:fill="B8CCE4"/>
          </w:tcPr>
          <w:p w:rsidR="00CF116F" w:rsidRPr="00CF380D" w:rsidRDefault="00CF116F" w:rsidP="00CF116F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Të dh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na bazike t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l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nd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s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09530F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FSh</w:t>
            </w:r>
            <w:r w:rsidR="00117F15" w:rsidRPr="00CF380D">
              <w:rPr>
                <w:rFonts w:ascii="Calibri" w:hAnsi="Calibri" w:cs="Calibri"/>
                <w:szCs w:val="28"/>
                <w:lang w:val="sq-AL"/>
              </w:rPr>
              <w:t>MN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>,</w:t>
            </w:r>
            <w:r w:rsidR="0009530F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3A7D30">
              <w:rPr>
                <w:rFonts w:ascii="Calibri" w:hAnsi="Calibri" w:cs="Calibri"/>
                <w:szCs w:val="28"/>
                <w:lang w:val="sq-AL"/>
              </w:rPr>
              <w:t>Departamenti i Matematikës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2D57C7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Teoria e numrave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056" w:type="dxa"/>
            <w:gridSpan w:val="3"/>
          </w:tcPr>
          <w:p w:rsidR="00CF116F" w:rsidRPr="00CF380D" w:rsidRDefault="002D57C7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BA</w:t>
            </w:r>
          </w:p>
        </w:tc>
      </w:tr>
      <w:tr w:rsidR="00781805" w:rsidRPr="00117F15" w:rsidTr="00E643B3">
        <w:tc>
          <w:tcPr>
            <w:tcW w:w="3574" w:type="dxa"/>
          </w:tcPr>
          <w:p w:rsidR="00781805" w:rsidRPr="00CF380D" w:rsidRDefault="00781805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056" w:type="dxa"/>
            <w:gridSpan w:val="3"/>
          </w:tcPr>
          <w:p w:rsidR="00781805" w:rsidRPr="00CF380D" w:rsidRDefault="002D57C7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0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056" w:type="dxa"/>
            <w:gridSpan w:val="3"/>
          </w:tcPr>
          <w:p w:rsidR="00CF116F" w:rsidRPr="00CF380D" w:rsidRDefault="00DF70F1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II</w:t>
            </w:r>
            <w:r w:rsidR="002D57C7">
              <w:rPr>
                <w:rFonts w:ascii="Calibri" w:hAnsi="Calibri" w:cs="Calibri"/>
                <w:szCs w:val="28"/>
                <w:lang w:val="sq-AL"/>
              </w:rPr>
              <w:t>I</w:t>
            </w:r>
          </w:p>
        </w:tc>
      </w:tr>
      <w:tr w:rsidR="00CF116F" w:rsidRPr="00117F15" w:rsidTr="00E643B3">
        <w:trPr>
          <w:trHeight w:val="70"/>
        </w:trPr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056" w:type="dxa"/>
            <w:gridSpan w:val="3"/>
          </w:tcPr>
          <w:p w:rsidR="00CF116F" w:rsidRPr="00CF380D" w:rsidRDefault="002D57C7" w:rsidP="00E64C61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2+2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056" w:type="dxa"/>
            <w:gridSpan w:val="3"/>
          </w:tcPr>
          <w:p w:rsidR="00CF116F" w:rsidRPr="00CF380D" w:rsidRDefault="002D57C7" w:rsidP="00B0248A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6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056" w:type="dxa"/>
            <w:gridSpan w:val="3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117F15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Mësimdhënësi</w:t>
            </w:r>
            <w:r w:rsidR="00CF116F"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 i lëndës: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Kajtaz H. Bllaca</w:t>
            </w:r>
          </w:p>
        </w:tc>
      </w:tr>
      <w:tr w:rsidR="00CF116F" w:rsidRPr="00117F15" w:rsidTr="00E643B3">
        <w:tc>
          <w:tcPr>
            <w:tcW w:w="3574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056" w:type="dxa"/>
            <w:gridSpan w:val="3"/>
          </w:tcPr>
          <w:p w:rsidR="00CF116F" w:rsidRPr="00CF380D" w:rsidRDefault="000D740C" w:rsidP="000D740C">
            <w:pPr>
              <w:pStyle w:val="NoSpacing"/>
              <w:rPr>
                <w:rFonts w:ascii="Calibri" w:hAnsi="Calibri" w:cs="Calibri"/>
                <w:szCs w:val="28"/>
              </w:rPr>
            </w:pPr>
            <w:r>
              <w:t>kajtaz.bllaca@uni-pr.edu</w:t>
            </w:r>
          </w:p>
        </w:tc>
      </w:tr>
      <w:tr w:rsidR="00FB050B" w:rsidRPr="00CF380D" w:rsidTr="00E643B3">
        <w:tc>
          <w:tcPr>
            <w:tcW w:w="8630" w:type="dxa"/>
            <w:gridSpan w:val="4"/>
            <w:shd w:val="clear" w:color="auto" w:fill="B8CCE4"/>
          </w:tcPr>
          <w:p w:rsidR="00FB050B" w:rsidRPr="00CF380D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7E250F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Përshkrimi i lëndës</w:t>
            </w:r>
            <w:r w:rsidR="00984660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056" w:type="dxa"/>
            <w:gridSpan w:val="3"/>
          </w:tcPr>
          <w:p w:rsidR="002D57C7" w:rsidRPr="00CB50AA" w:rsidRDefault="002D57C7" w:rsidP="002D57C7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</w:pPr>
            <w:r w:rsidRPr="00CB50A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Teoria e numrave gjithmonë ka zënë një vend të posaçëm në botën e matematikës. Kjo për arsye të rendësisë së padiskutueshme historike të lëndës: </w:t>
            </w:r>
            <w:r w:rsidRPr="00CB50AA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ajo është një nga disiplinat e pakta që ka rezultate të demonstrueshme që i paraprijnë vetë idesë së një universiteti. </w:t>
            </w:r>
          </w:p>
          <w:p w:rsidR="002D57C7" w:rsidRDefault="002D57C7" w:rsidP="002D57C7">
            <w:pPr>
              <w:pStyle w:val="HTMLPreformatted"/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</w:pPr>
            <w:r w:rsidRPr="00CB50AA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Teoria e numrave merret me studimin e vetive të numrave të plotë. Matematikani i madh Carl Friedrich Gauss, pat thënë për teorinë e numrave (aritmetikën) se është “M</w:t>
            </w:r>
            <w:r w:rsidRPr="00CB50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 xml:space="preserve">bretëreshë e matematikës”. </w:t>
            </w:r>
          </w:p>
          <w:p w:rsidR="002D57C7" w:rsidRPr="00FE396A" w:rsidRDefault="002D57C7" w:rsidP="002D57C7">
            <w:pPr>
              <w:spacing w:before="120" w:after="120"/>
              <w:jc w:val="both"/>
            </w:pPr>
            <w:proofErr w:type="spellStart"/>
            <w:r w:rsidRPr="00FE396A">
              <w:rPr>
                <w:color w:val="000000"/>
              </w:rPr>
              <w:t>Shembuj</w:t>
            </w:r>
            <w:proofErr w:type="spellEnd"/>
            <w:r w:rsidRPr="00FE396A">
              <w:rPr>
                <w:color w:val="000000"/>
              </w:rPr>
              <w:t xml:space="preserve"> </w:t>
            </w:r>
            <w:proofErr w:type="spellStart"/>
            <w:r w:rsidRPr="00FE396A">
              <w:rPr>
                <w:color w:val="000000"/>
              </w:rPr>
              <w:t>të</w:t>
            </w:r>
            <w:proofErr w:type="spellEnd"/>
            <w:r w:rsidRPr="00FE396A">
              <w:rPr>
                <w:color w:val="000000"/>
              </w:rPr>
              <w:t xml:space="preserve"> </w:t>
            </w:r>
            <w:proofErr w:type="spellStart"/>
            <w:r w:rsidRPr="00FE396A">
              <w:rPr>
                <w:color w:val="000000"/>
              </w:rPr>
              <w:t>temave</w:t>
            </w:r>
            <w:proofErr w:type="spellEnd"/>
            <w:r w:rsidRPr="00FE396A">
              <w:rPr>
                <w:color w:val="000000"/>
              </w:rPr>
              <w:t xml:space="preserve"> </w:t>
            </w:r>
            <w:proofErr w:type="spellStart"/>
            <w:r w:rsidRPr="00FE396A">
              <w:rPr>
                <w:color w:val="000000"/>
              </w:rPr>
              <w:t>që</w:t>
            </w:r>
            <w:proofErr w:type="spellEnd"/>
            <w:r w:rsidRPr="00FE396A">
              <w:rPr>
                <w:color w:val="000000"/>
              </w:rPr>
              <w:t xml:space="preserve"> </w:t>
            </w:r>
            <w:proofErr w:type="spellStart"/>
            <w:r w:rsidRPr="00FE396A">
              <w:rPr>
                <w:color w:val="000000"/>
              </w:rPr>
              <w:t>trajtohen</w:t>
            </w:r>
            <w:proofErr w:type="spellEnd"/>
            <w:r w:rsidRPr="00FE396A">
              <w:rPr>
                <w:color w:val="000000"/>
              </w:rPr>
              <w:t xml:space="preserve"> </w:t>
            </w:r>
            <w:proofErr w:type="spellStart"/>
            <w:r w:rsidRPr="00FE396A">
              <w:rPr>
                <w:color w:val="000000"/>
              </w:rPr>
              <w:t>në</w:t>
            </w:r>
            <w:proofErr w:type="spellEnd"/>
            <w:r w:rsidRPr="00FE396A">
              <w:rPr>
                <w:color w:val="000000"/>
              </w:rPr>
              <w:t xml:space="preserve"> </w:t>
            </w:r>
            <w:proofErr w:type="spellStart"/>
            <w:r w:rsidRPr="00FE396A">
              <w:rPr>
                <w:color w:val="000000"/>
              </w:rPr>
              <w:t>këtë</w:t>
            </w:r>
            <w:proofErr w:type="spellEnd"/>
            <w:r w:rsidRPr="00FE396A">
              <w:rPr>
                <w:color w:val="000000"/>
              </w:rPr>
              <w:t xml:space="preserve"> </w:t>
            </w:r>
            <w:proofErr w:type="spellStart"/>
            <w:r w:rsidRPr="00FE396A">
              <w:rPr>
                <w:color w:val="000000"/>
              </w:rPr>
              <w:t>kurs</w:t>
            </w:r>
            <w:proofErr w:type="spellEnd"/>
            <w:r w:rsidRPr="00FE396A">
              <w:rPr>
                <w:color w:val="000000"/>
              </w:rPr>
              <w:t xml:space="preserve"> </w:t>
            </w:r>
            <w:proofErr w:type="spellStart"/>
            <w:r w:rsidRPr="00FE396A">
              <w:rPr>
                <w:color w:val="000000"/>
              </w:rPr>
              <w:t>janë</w:t>
            </w:r>
            <w:proofErr w:type="spellEnd"/>
            <w:r w:rsidRPr="00FE396A">
              <w:rPr>
                <w:color w:val="000000"/>
              </w:rPr>
              <w:t xml:space="preserve">: </w:t>
            </w:r>
            <w:proofErr w:type="spellStart"/>
            <w:r w:rsidRPr="00FE396A">
              <w:t>plotëpjestueshmëria</w:t>
            </w:r>
            <w:proofErr w:type="spellEnd"/>
            <w:r w:rsidRPr="00FE396A">
              <w:t xml:space="preserve">, </w:t>
            </w:r>
            <w:proofErr w:type="spellStart"/>
            <w:r w:rsidRPr="00FE396A">
              <w:t>kongruencat</w:t>
            </w:r>
            <w:proofErr w:type="spellEnd"/>
            <w:r w:rsidRPr="00FE396A">
              <w:t xml:space="preserve">, </w:t>
            </w:r>
            <w:proofErr w:type="spellStart"/>
            <w:r w:rsidRPr="00FE396A">
              <w:t>mbetjet</w:t>
            </w:r>
            <w:proofErr w:type="spellEnd"/>
            <w:r w:rsidRPr="00FE396A">
              <w:t xml:space="preserve"> </w:t>
            </w:r>
            <w:proofErr w:type="spellStart"/>
            <w:r w:rsidRPr="00FE396A">
              <w:t>kuadratike</w:t>
            </w:r>
            <w:proofErr w:type="spellEnd"/>
            <w:r w:rsidRPr="00FE396A">
              <w:t xml:space="preserve">, format </w:t>
            </w:r>
            <w:proofErr w:type="spellStart"/>
            <w:r w:rsidRPr="00FE396A">
              <w:t>kuadratike</w:t>
            </w:r>
            <w:proofErr w:type="spellEnd"/>
            <w:r w:rsidRPr="00FE396A">
              <w:t xml:space="preserve">, </w:t>
            </w:r>
            <w:proofErr w:type="spellStart"/>
            <w:r w:rsidRPr="00FE396A">
              <w:t>funksionet</w:t>
            </w:r>
            <w:proofErr w:type="spellEnd"/>
            <w:r w:rsidRPr="00FE396A">
              <w:t xml:space="preserve"> </w:t>
            </w:r>
            <w:proofErr w:type="spellStart"/>
            <w:r w:rsidRPr="00FE396A">
              <w:t>aritmetike</w:t>
            </w:r>
            <w:proofErr w:type="spellEnd"/>
            <w:r w:rsidRPr="00FE396A">
              <w:t xml:space="preserve">, </w:t>
            </w:r>
            <w:proofErr w:type="spellStart"/>
            <w:r w:rsidRPr="00FE396A">
              <w:t>ekuacionet</w:t>
            </w:r>
            <w:proofErr w:type="spellEnd"/>
            <w:r w:rsidRPr="00FE396A">
              <w:t xml:space="preserve"> e </w:t>
            </w:r>
            <w:proofErr w:type="spellStart"/>
            <w:r w:rsidRPr="00FE396A">
              <w:t>Diofantit</w:t>
            </w:r>
            <w:proofErr w:type="spellEnd"/>
            <w:r w:rsidRPr="00FE396A">
              <w:t xml:space="preserve">. </w:t>
            </w:r>
          </w:p>
          <w:p w:rsidR="007C3132" w:rsidRPr="00DE0C70" w:rsidRDefault="007C3132" w:rsidP="00A06034">
            <w:pPr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CF116F" w:rsidRPr="007E250F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Qëllimet e lëndës:</w:t>
            </w:r>
          </w:p>
        </w:tc>
        <w:tc>
          <w:tcPr>
            <w:tcW w:w="5056" w:type="dxa"/>
            <w:gridSpan w:val="3"/>
          </w:tcPr>
          <w:p w:rsidR="002D57C7" w:rsidRPr="00CB50AA" w:rsidRDefault="002D57C7" w:rsidP="002D57C7">
            <w:pPr>
              <w:jc w:val="both"/>
              <w:rPr>
                <w:rFonts w:ascii="Book Antiqua" w:hAnsi="Book Antiqua"/>
                <w:lang w:val="sq-AL"/>
              </w:rPr>
            </w:pPr>
            <w:r w:rsidRPr="00CB50AA">
              <w:rPr>
                <w:rFonts w:ascii="Book Antiqua" w:hAnsi="Book Antiqua"/>
                <w:lang w:val="sq-AL"/>
              </w:rPr>
              <w:t xml:space="preserve">Kursi do të mbulojë konceptet themelore të teorisë elementare të numrave, si dhe tema të zgjedhura nga fushat e tjera të teorisë së numrave. </w:t>
            </w:r>
          </w:p>
          <w:p w:rsidR="007C3132" w:rsidRPr="003E13BF" w:rsidRDefault="007C3132" w:rsidP="00A06034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7E250F" w:rsidTr="00E643B3">
        <w:tc>
          <w:tcPr>
            <w:tcW w:w="3574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Rezultatet e pritura të nxënies:</w:t>
            </w:r>
          </w:p>
        </w:tc>
        <w:tc>
          <w:tcPr>
            <w:tcW w:w="5056" w:type="dxa"/>
            <w:gridSpan w:val="3"/>
          </w:tcPr>
          <w:p w:rsidR="002D57C7" w:rsidRDefault="002D57C7" w:rsidP="002D57C7">
            <w:pPr>
              <w:jc w:val="both"/>
              <w:rPr>
                <w:lang w:val="sq-AL"/>
              </w:rPr>
            </w:pPr>
            <w:r w:rsidRPr="00CB50AA">
              <w:rPr>
                <w:lang w:val="sq-AL"/>
              </w:rPr>
              <w:t>Pas përfundimit të kursit pritet që studenti</w:t>
            </w:r>
            <w:r w:rsidR="00416789">
              <w:rPr>
                <w:lang w:val="sq-AL"/>
              </w:rPr>
              <w:t xml:space="preserve"> të</w:t>
            </w:r>
          </w:p>
          <w:p w:rsidR="0073641D" w:rsidRDefault="0073641D" w:rsidP="002D57C7">
            <w:pPr>
              <w:jc w:val="both"/>
              <w:rPr>
                <w:lang w:val="sq-AL"/>
              </w:rPr>
            </w:pPr>
          </w:p>
          <w:p w:rsidR="0073641D" w:rsidRDefault="0073641D" w:rsidP="0073641D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contextualSpacing w:val="0"/>
              <w:rPr>
                <w:lang w:val="sq-AL"/>
              </w:rPr>
            </w:pPr>
            <w:r>
              <w:rPr>
                <w:lang w:val="sq-AL"/>
              </w:rPr>
              <w:t>dijë për thyesat e vazhdueshme,</w:t>
            </w:r>
          </w:p>
          <w:p w:rsidR="0073641D" w:rsidRPr="00CB50AA" w:rsidRDefault="0073641D" w:rsidP="0073641D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contextualSpacing w:val="0"/>
              <w:rPr>
                <w:lang w:val="sq-AL"/>
              </w:rPr>
            </w:pPr>
            <w:r>
              <w:rPr>
                <w:lang w:val="sq-AL"/>
              </w:rPr>
              <w:t>ketë njohuri për shpërndarjen e numrave të thjeshtë</w:t>
            </w:r>
            <w:r w:rsidR="005B578C">
              <w:rPr>
                <w:lang w:val="sq-AL"/>
              </w:rPr>
              <w:t>,</w:t>
            </w:r>
            <w:bookmarkStart w:id="0" w:name="_GoBack"/>
            <w:bookmarkEnd w:id="0"/>
          </w:p>
          <w:p w:rsidR="0073641D" w:rsidRPr="00CB50AA" w:rsidRDefault="0073641D" w:rsidP="002D57C7">
            <w:pPr>
              <w:jc w:val="both"/>
              <w:rPr>
                <w:lang w:val="sq-AL"/>
              </w:rPr>
            </w:pPr>
          </w:p>
          <w:p w:rsidR="002D57C7" w:rsidRPr="00CB50AA" w:rsidRDefault="002D57C7" w:rsidP="002D57C7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contextualSpacing w:val="0"/>
              <w:rPr>
                <w:lang w:val="sq-AL"/>
              </w:rPr>
            </w:pPr>
            <w:r w:rsidRPr="00CB50AA">
              <w:rPr>
                <w:lang w:val="sq-AL"/>
              </w:rPr>
              <w:lastRenderedPageBreak/>
              <w:t>vërtetojë pohime dhe të zgjidhë detyra që ndërlidhen me teoremën fundamentale në ar</w:t>
            </w:r>
            <w:r>
              <w:rPr>
                <w:lang w:val="sq-AL"/>
              </w:rPr>
              <w:t>i</w:t>
            </w:r>
            <w:r w:rsidRPr="00CB50AA">
              <w:rPr>
                <w:lang w:val="sq-AL"/>
              </w:rPr>
              <w:t>tmetik</w:t>
            </w:r>
            <w:r>
              <w:rPr>
                <w:lang w:val="sq-AL"/>
              </w:rPr>
              <w:t>ë</w:t>
            </w:r>
            <w:r w:rsidRPr="00CB50AA">
              <w:rPr>
                <w:lang w:val="sq-AL"/>
              </w:rPr>
              <w:t>,</w:t>
            </w:r>
          </w:p>
          <w:p w:rsidR="002D57C7" w:rsidRPr="00CB50AA" w:rsidRDefault="00416789" w:rsidP="002D57C7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contextualSpacing w:val="0"/>
              <w:rPr>
                <w:lang w:val="sq-AL"/>
              </w:rPr>
            </w:pPr>
            <w:r>
              <w:rPr>
                <w:lang w:val="sq-AL"/>
              </w:rPr>
              <w:t xml:space="preserve">zgjidhë </w:t>
            </w:r>
            <w:r w:rsidR="002D57C7" w:rsidRPr="00CB50AA">
              <w:rPr>
                <w:lang w:val="sq-AL"/>
              </w:rPr>
              <w:t xml:space="preserve">ekuacionet e Diofantit </w:t>
            </w:r>
            <w:r w:rsidR="002D57C7">
              <w:rPr>
                <w:lang w:val="sq-AL"/>
              </w:rPr>
              <w:t>si dhe t</w:t>
            </w:r>
            <w:r w:rsidR="00C629BD">
              <w:rPr>
                <w:lang w:val="sq-AL"/>
              </w:rPr>
              <w:t>ë</w:t>
            </w:r>
            <w:r>
              <w:rPr>
                <w:lang w:val="sq-AL"/>
              </w:rPr>
              <w:t xml:space="preserve"> zbato</w:t>
            </w:r>
            <w:r w:rsidR="00C629BD">
              <w:rPr>
                <w:lang w:val="sq-AL"/>
              </w:rPr>
              <w:t>jë</w:t>
            </w:r>
            <w:r w:rsidR="002D57C7">
              <w:rPr>
                <w:lang w:val="sq-AL"/>
              </w:rPr>
              <w:t xml:space="preserve"> ato </w:t>
            </w:r>
            <w:r w:rsidR="002D57C7" w:rsidRPr="00CB50AA">
              <w:rPr>
                <w:lang w:val="sq-AL"/>
              </w:rPr>
              <w:t>në zgj</w:t>
            </w:r>
            <w:r w:rsidR="005B578C">
              <w:rPr>
                <w:lang w:val="sq-AL"/>
              </w:rPr>
              <w:t>idhjen e problemeve të ndryshme,</w:t>
            </w:r>
          </w:p>
          <w:p w:rsidR="007C3132" w:rsidRPr="00BB6C25" w:rsidRDefault="00BB6C25" w:rsidP="00BB6C25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contextualSpacing w:val="0"/>
              <w:rPr>
                <w:lang w:val="sq-AL"/>
              </w:rPr>
            </w:pPr>
            <w:r w:rsidRPr="00CB50AA">
              <w:rPr>
                <w:lang w:val="sq-AL"/>
              </w:rPr>
              <w:t>zbato</w:t>
            </w:r>
            <w:r>
              <w:rPr>
                <w:lang w:val="sq-AL"/>
              </w:rPr>
              <w:t>jë</w:t>
            </w:r>
            <w:r w:rsidRPr="00CB50AA">
              <w:rPr>
                <w:lang w:val="sq-AL"/>
              </w:rPr>
              <w:t xml:space="preserve"> kongruencat në zgjidhjen e detyrave të ndryshme</w:t>
            </w:r>
            <w:r w:rsidR="005B578C">
              <w:rPr>
                <w:lang w:val="sq-AL"/>
              </w:rPr>
              <w:t>.</w:t>
            </w:r>
          </w:p>
        </w:tc>
      </w:tr>
      <w:tr w:rsidR="00FF7590" w:rsidRPr="007E250F" w:rsidTr="00E643B3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CF116F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FB050B" w:rsidRPr="007E250F" w:rsidTr="00E643B3">
        <w:tc>
          <w:tcPr>
            <w:tcW w:w="8630" w:type="dxa"/>
            <w:gridSpan w:val="4"/>
            <w:shd w:val="clear" w:color="auto" w:fill="B8CCE4"/>
          </w:tcPr>
          <w:p w:rsidR="00FB050B" w:rsidRPr="00CF380D" w:rsidRDefault="00117F15" w:rsidP="00183923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Kontributi në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ngark</w:t>
            </w:r>
            <w:r w:rsidRPr="00CF380D">
              <w:rPr>
                <w:rFonts w:ascii="Calibri" w:hAnsi="Calibri" w:cs="Calibri"/>
                <w:b/>
                <w:lang w:val="sq-AL"/>
              </w:rPr>
              <w:t>esë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n e studentit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(gjë që duhet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korrespondoj</w:t>
            </w:r>
            <w:r w:rsidRPr="00CF380D">
              <w:rPr>
                <w:rFonts w:ascii="Calibri" w:hAnsi="Calibri" w:cs="Calibri"/>
                <w:b/>
                <w:lang w:val="sq-AL"/>
              </w:rPr>
              <w:t>ë me rezultatet e të nxënit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studentit)</w:t>
            </w:r>
          </w:p>
        </w:tc>
      </w:tr>
      <w:tr w:rsidR="000D740C" w:rsidRPr="00CF380D" w:rsidTr="00E643B3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:rsidR="000D740C" w:rsidRDefault="000D740C" w:rsidP="000D740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D740C" w:rsidRDefault="000D740C" w:rsidP="000D740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D740C" w:rsidRDefault="000D740C" w:rsidP="000D740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</w:tcPr>
          <w:p w:rsidR="000D740C" w:rsidRDefault="000D740C" w:rsidP="000D740C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2D57C7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2D57C7" w:rsidRDefault="002D57C7" w:rsidP="002D57C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7C7" w:rsidRPr="009B32B3" w:rsidRDefault="002D57C7" w:rsidP="002D57C7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7C7" w:rsidRPr="009B32B3" w:rsidRDefault="002D57C7" w:rsidP="002D57C7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7C7" w:rsidRPr="009B32B3" w:rsidRDefault="002D57C7" w:rsidP="002D57C7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Kollokuiume, seminare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2D57C7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2D57C7" w:rsidRDefault="002D57C7" w:rsidP="002D57C7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Detyra të  shtëpisë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7C7" w:rsidRPr="009B32B3" w:rsidRDefault="002D57C7" w:rsidP="002D57C7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7C7" w:rsidRPr="009B32B3" w:rsidRDefault="002D57C7" w:rsidP="002D57C7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7C7" w:rsidRPr="009B32B3" w:rsidRDefault="002D57C7" w:rsidP="002D57C7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studimit vetanak të studentit (në bibliotekë ose në shtëpi)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DF70F1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Përgatitja përfundimtare për provim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kaluar në vlerësim (teste, kuize, provim final)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2D57C7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:rsidR="00DF70F1" w:rsidRDefault="00DF70F1" w:rsidP="00DF70F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Projektet, prezantimet, etj.</w:t>
            </w:r>
          </w:p>
          <w:p w:rsidR="00DF70F1" w:rsidRDefault="00DF70F1" w:rsidP="00DF70F1">
            <w:pPr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70F1" w:rsidRPr="009B32B3" w:rsidRDefault="00DF70F1" w:rsidP="00DF70F1">
            <w:pPr>
              <w:pStyle w:val="NoSpacing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B32B3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DF70F1" w:rsidRPr="00CF380D" w:rsidTr="00111100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:rsidR="00DF70F1" w:rsidRDefault="00DF70F1" w:rsidP="00DF70F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Totali </w:t>
            </w:r>
          </w:p>
          <w:p w:rsidR="00DF70F1" w:rsidRDefault="00DF70F1" w:rsidP="00DF70F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F70F1" w:rsidRDefault="00DF70F1" w:rsidP="00DF70F1">
            <w:pPr>
              <w:pStyle w:val="NoSpacing"/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F70F1" w:rsidRDefault="00DF70F1" w:rsidP="00DF70F1">
            <w:pPr>
              <w:pStyle w:val="NoSpacing"/>
              <w:jc w:val="center"/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DF70F1" w:rsidRDefault="00DF70F1" w:rsidP="00DF70F1">
            <w:pPr>
              <w:pStyle w:val="NoSpacing"/>
              <w:jc w:val="center"/>
            </w:pPr>
            <w:r>
              <w:t>1</w:t>
            </w:r>
            <w:r w:rsidR="002D57C7">
              <w:t>6</w:t>
            </w:r>
            <w:r>
              <w:t>5</w:t>
            </w:r>
          </w:p>
        </w:tc>
      </w:tr>
      <w:tr w:rsidR="00FF7590" w:rsidRPr="00CF380D" w:rsidTr="00E643B3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Metodologjia e 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mësimdhënies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056" w:type="dxa"/>
            <w:gridSpan w:val="3"/>
          </w:tcPr>
          <w:p w:rsidR="00183923" w:rsidRPr="00CF380D" w:rsidRDefault="008E5634" w:rsidP="00FF2385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Ligjërata, diskutime, ushtrime, </w:t>
            </w:r>
            <w:r w:rsidR="007E250F">
              <w:rPr>
                <w:rFonts w:ascii="Calibri" w:hAnsi="Calibri" w:cs="Calibri"/>
                <w:lang w:val="sq-AL"/>
              </w:rPr>
              <w:t xml:space="preserve">detyra shtëpie, </w:t>
            </w:r>
            <w:r w:rsidRPr="00CF380D">
              <w:rPr>
                <w:rFonts w:ascii="Calibri" w:hAnsi="Calibri" w:cs="Calibri"/>
                <w:lang w:val="sq-AL"/>
              </w:rPr>
              <w:t>konsultime, kollokuiume</w:t>
            </w:r>
            <w:r w:rsidR="00706A57">
              <w:rPr>
                <w:rFonts w:ascii="Calibri" w:hAnsi="Calibri" w:cs="Calibri"/>
                <w:lang w:val="sq-AL"/>
              </w:rPr>
              <w:t>, provime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056" w:type="dxa"/>
            <w:gridSpan w:val="3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183923" w:rsidRPr="00CF380D" w:rsidTr="00E643B3">
        <w:tc>
          <w:tcPr>
            <w:tcW w:w="3574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056" w:type="dxa"/>
            <w:gridSpan w:val="3"/>
          </w:tcPr>
          <w:p w:rsidR="002D57C7" w:rsidRDefault="002D57C7" w:rsidP="002D57C7">
            <w:pPr>
              <w:pStyle w:val="NoSpacing"/>
              <w:jc w:val="both"/>
            </w:pPr>
            <w:r>
              <w:t>   </w:t>
            </w:r>
            <w:proofErr w:type="spellStart"/>
            <w:r>
              <w:t>Kollokuiumet</w:t>
            </w:r>
            <w:proofErr w:type="spellEnd"/>
            <w:r>
              <w:t>,</w:t>
            </w:r>
          </w:p>
          <w:p w:rsidR="002D57C7" w:rsidRDefault="002D57C7" w:rsidP="002D57C7">
            <w:pPr>
              <w:pStyle w:val="NoSpacing"/>
              <w:jc w:val="both"/>
            </w:pPr>
            <w:r>
              <w:t>   </w:t>
            </w:r>
            <w:proofErr w:type="spellStart"/>
            <w:r>
              <w:t>Detyrat</w:t>
            </w:r>
            <w:proofErr w:type="spellEnd"/>
            <w:r>
              <w:t xml:space="preserve"> e </w:t>
            </w:r>
            <w:proofErr w:type="spellStart"/>
            <w:r>
              <w:t>shtëpisë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puna</w:t>
            </w:r>
            <w:proofErr w:type="spellEnd"/>
            <w:r>
              <w:t xml:space="preserve"> </w:t>
            </w:r>
            <w:proofErr w:type="spellStart"/>
            <w:r>
              <w:t>seminarike</w:t>
            </w:r>
            <w:proofErr w:type="spellEnd"/>
            <w:r>
              <w:t>,</w:t>
            </w:r>
          </w:p>
          <w:p w:rsidR="002D57C7" w:rsidRDefault="002D57C7" w:rsidP="002D57C7">
            <w:pPr>
              <w:pStyle w:val="NoSpacing"/>
              <w:jc w:val="both"/>
            </w:pPr>
            <w:r>
              <w:t>   </w:t>
            </w:r>
            <w:proofErr w:type="spellStart"/>
            <w:r>
              <w:t>Aktiviteti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mësim</w:t>
            </w:r>
            <w:proofErr w:type="spellEnd"/>
            <w:r>
              <w:t>,</w:t>
            </w:r>
          </w:p>
          <w:p w:rsidR="002D57C7" w:rsidRDefault="002D57C7" w:rsidP="002D57C7">
            <w:pPr>
              <w:pStyle w:val="NoSpacing"/>
              <w:jc w:val="both"/>
            </w:pPr>
            <w:r>
              <w:t>   </w:t>
            </w:r>
            <w:proofErr w:type="spellStart"/>
            <w:r>
              <w:t>Vlerësimi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>.</w:t>
            </w:r>
          </w:p>
          <w:p w:rsidR="002D57C7" w:rsidRDefault="002D57C7" w:rsidP="002D57C7"/>
          <w:p w:rsidR="002D57C7" w:rsidRDefault="002D57C7" w:rsidP="002D57C7">
            <w:pPr>
              <w:rPr>
                <w:b/>
              </w:rPr>
            </w:pPr>
            <w:proofErr w:type="spellStart"/>
            <w:r>
              <w:rPr>
                <w:b/>
              </w:rPr>
              <w:t>Kollokuiumet</w:t>
            </w:r>
            <w:proofErr w:type="spellEnd"/>
          </w:p>
          <w:p w:rsidR="002D57C7" w:rsidRPr="006D2E3E" w:rsidRDefault="002D57C7" w:rsidP="002D57C7">
            <w:pPr>
              <w:rPr>
                <w:b/>
              </w:rPr>
            </w:pPr>
          </w:p>
          <w:p w:rsidR="002D57C7" w:rsidRDefault="002D57C7" w:rsidP="002D57C7">
            <w:pPr>
              <w:jc w:val="both"/>
            </w:pP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kollokuiume</w:t>
            </w:r>
            <w:proofErr w:type="spellEnd"/>
            <w:r>
              <w:t xml:space="preserve">, </w:t>
            </w:r>
            <w:proofErr w:type="spellStart"/>
            <w:r>
              <w:t>secili</w:t>
            </w:r>
            <w:proofErr w:type="spellEnd"/>
            <w:r>
              <w:t xml:space="preserve"> me </w:t>
            </w:r>
            <w:proofErr w:type="spellStart"/>
            <w:r>
              <w:t>pikë</w:t>
            </w:r>
            <w:proofErr w:type="spellEnd"/>
            <w:r>
              <w:t xml:space="preserve"> </w:t>
            </w:r>
            <w:proofErr w:type="spellStart"/>
            <w:r>
              <w:t>maksimale</w:t>
            </w:r>
            <w:proofErr w:type="spellEnd"/>
            <w:r>
              <w:t xml:space="preserve"> 60; </w:t>
            </w:r>
            <w:proofErr w:type="spellStart"/>
            <w:r>
              <w:t>provimet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me </w:t>
            </w:r>
            <w:proofErr w:type="spellStart"/>
            <w:r>
              <w:t>shkrim</w:t>
            </w:r>
            <w:proofErr w:type="spellEnd"/>
            <w:r>
              <w:t>.</w:t>
            </w:r>
          </w:p>
          <w:p w:rsidR="002D57C7" w:rsidRDefault="002D57C7" w:rsidP="002D57C7">
            <w:pPr>
              <w:jc w:val="both"/>
            </w:pPr>
            <w:proofErr w:type="spellStart"/>
            <w:r>
              <w:lastRenderedPageBreak/>
              <w:t>Kollokuiumi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parë</w:t>
            </w:r>
            <w:proofErr w:type="spellEnd"/>
            <w:r>
              <w:t xml:space="preserve"> </w:t>
            </w:r>
            <w:proofErr w:type="spellStart"/>
            <w:r>
              <w:t>përfshin</w:t>
            </w:r>
            <w:proofErr w:type="spellEnd"/>
            <w:r>
              <w:t xml:space="preserve"> </w:t>
            </w:r>
            <w:proofErr w:type="spellStart"/>
            <w:r>
              <w:t>përmbajtje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ushtrimet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kapitulli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pjesëtueshmëri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kongruencë</w:t>
            </w:r>
            <w:proofErr w:type="spellEnd"/>
            <w:r>
              <w:t xml:space="preserve"> </w:t>
            </w:r>
          </w:p>
          <w:p w:rsidR="002D57C7" w:rsidRDefault="002D57C7" w:rsidP="002D57C7">
            <w:pPr>
              <w:jc w:val="both"/>
            </w:pPr>
          </w:p>
          <w:p w:rsidR="002D57C7" w:rsidRDefault="002D57C7" w:rsidP="002D57C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t>Kollokuiumi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dytë</w:t>
            </w:r>
            <w:proofErr w:type="spellEnd"/>
            <w:r>
              <w:t xml:space="preserve"> </w:t>
            </w:r>
            <w:proofErr w:type="spellStart"/>
            <w:r>
              <w:t>përfshin</w:t>
            </w:r>
            <w:proofErr w:type="spellEnd"/>
            <w:r>
              <w:t xml:space="preserve"> </w:t>
            </w:r>
            <w:proofErr w:type="spellStart"/>
            <w:r>
              <w:t>përmbajtjen</w:t>
            </w:r>
            <w:proofErr w:type="spellEnd"/>
            <w:r>
              <w:t xml:space="preserve"> e </w:t>
            </w:r>
            <w:proofErr w:type="spellStart"/>
            <w:r>
              <w:t>përpunuar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ushtrime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funksionet</w:t>
            </w:r>
            <w:proofErr w:type="spellEnd"/>
            <w:r>
              <w:t xml:space="preserve"> </w:t>
            </w:r>
            <w:proofErr w:type="spellStart"/>
            <w:r>
              <w:t>aritmetike</w:t>
            </w:r>
            <w:proofErr w:type="spellEnd"/>
            <w:r>
              <w:t xml:space="preserve">, </w:t>
            </w:r>
            <w:proofErr w:type="spellStart"/>
            <w:r>
              <w:t>mbetjeve</w:t>
            </w:r>
            <w:proofErr w:type="spellEnd"/>
            <w:r>
              <w:t xml:space="preserve"> </w:t>
            </w:r>
            <w:proofErr w:type="spellStart"/>
            <w:r>
              <w:t>kuadratike</w:t>
            </w:r>
            <w:proofErr w:type="spellEnd"/>
            <w:r>
              <w:t xml:space="preserve">, </w:t>
            </w:r>
            <w:proofErr w:type="spellStart"/>
            <w:r>
              <w:t>formave</w:t>
            </w:r>
            <w:proofErr w:type="spellEnd"/>
            <w:r>
              <w:t xml:space="preserve"> </w:t>
            </w:r>
            <w:proofErr w:type="spellStart"/>
            <w:r>
              <w:t>kuadratike</w:t>
            </w:r>
            <w:proofErr w:type="spellEnd"/>
            <w:r>
              <w:t xml:space="preserve">, </w:t>
            </w:r>
            <w:r>
              <w:rPr>
                <w:rFonts w:ascii="Arial" w:hAnsi="Arial" w:cs="Arial"/>
              </w:rPr>
              <w:t>​​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ekuacionet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Diophanit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2D57C7" w:rsidRDefault="002D57C7" w:rsidP="002D57C7"/>
          <w:p w:rsidR="002D57C7" w:rsidRDefault="002D57C7" w:rsidP="002D57C7">
            <w:pPr>
              <w:rPr>
                <w:b/>
              </w:rPr>
            </w:pPr>
            <w:proofErr w:type="spellStart"/>
            <w:r w:rsidRPr="003004D7">
              <w:rPr>
                <w:b/>
              </w:rPr>
              <w:t>Detyrat</w:t>
            </w:r>
            <w:proofErr w:type="spellEnd"/>
            <w:r w:rsidRPr="003004D7">
              <w:rPr>
                <w:b/>
              </w:rPr>
              <w:t xml:space="preserve"> e </w:t>
            </w:r>
            <w:proofErr w:type="spellStart"/>
            <w:r w:rsidRPr="003004D7">
              <w:rPr>
                <w:b/>
              </w:rPr>
              <w:t>shtëpisë</w:t>
            </w:r>
            <w:proofErr w:type="spellEnd"/>
            <w:r w:rsidRPr="003004D7">
              <w:rPr>
                <w:b/>
              </w:rPr>
              <w:t xml:space="preserve"> </w:t>
            </w:r>
            <w:proofErr w:type="spellStart"/>
            <w:r w:rsidRPr="003004D7">
              <w:rPr>
                <w:b/>
              </w:rPr>
              <w:t>dhe</w:t>
            </w:r>
            <w:proofErr w:type="spellEnd"/>
            <w:r w:rsidRPr="003004D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004D7">
              <w:rPr>
                <w:b/>
              </w:rPr>
              <w:t>seminar</w:t>
            </w:r>
            <w:r>
              <w:rPr>
                <w:b/>
              </w:rPr>
              <w:t>ike</w:t>
            </w:r>
            <w:proofErr w:type="spellEnd"/>
          </w:p>
          <w:p w:rsidR="002D57C7" w:rsidRPr="003004D7" w:rsidRDefault="002D57C7" w:rsidP="002D57C7">
            <w:pPr>
              <w:rPr>
                <w:b/>
              </w:rPr>
            </w:pPr>
          </w:p>
          <w:p w:rsidR="002D57C7" w:rsidRDefault="002D57C7" w:rsidP="002D57C7">
            <w:pPr>
              <w:jc w:val="both"/>
            </w:pPr>
            <w:r>
              <w:t xml:space="preserve">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jipen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detyra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shtëpisë</w:t>
            </w:r>
            <w:proofErr w:type="spellEnd"/>
            <w:r>
              <w:t xml:space="preserve"> (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vlerësohen</w:t>
            </w:r>
            <w:proofErr w:type="spellEnd"/>
            <w:r>
              <w:t xml:space="preserve">),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periudhën</w:t>
            </w:r>
            <w:proofErr w:type="spellEnd"/>
            <w:r>
              <w:t xml:space="preserve"> para </w:t>
            </w:r>
            <w:proofErr w:type="spellStart"/>
            <w:r>
              <w:t>kollokuiumit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parë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para </w:t>
            </w:r>
            <w:proofErr w:type="spellStart"/>
            <w:r>
              <w:t>kollokuiumit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dytë</w:t>
            </w:r>
            <w:proofErr w:type="spellEnd"/>
            <w:r>
              <w:t xml:space="preserve">.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jenë</w:t>
            </w:r>
            <w:proofErr w:type="spellEnd"/>
            <w:r>
              <w:t xml:space="preserve"> </w:t>
            </w:r>
            <w:proofErr w:type="spellStart"/>
            <w:r>
              <w:t>detyra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tipit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njëjtë</w:t>
            </w:r>
            <w:proofErr w:type="spellEnd"/>
            <w:r>
              <w:t xml:space="preserve"> </w:t>
            </w:r>
            <w:proofErr w:type="spellStart"/>
            <w:r>
              <w:t>sikur</w:t>
            </w:r>
            <w:proofErr w:type="spellEnd"/>
            <w:r>
              <w:t xml:space="preserve"> </w:t>
            </w:r>
            <w:proofErr w:type="spellStart"/>
            <w:r>
              <w:t>ato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bëhen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ushtrime</w:t>
            </w:r>
            <w:proofErr w:type="spellEnd"/>
            <w:r>
              <w:t>.</w:t>
            </w:r>
          </w:p>
          <w:p w:rsidR="002D57C7" w:rsidRDefault="002D57C7" w:rsidP="002D57C7">
            <w:pPr>
              <w:jc w:val="both"/>
            </w:pPr>
            <w:proofErr w:type="spellStart"/>
            <w:r>
              <w:t>Afati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dorëzim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javë</w:t>
            </w:r>
            <w:proofErr w:type="spellEnd"/>
            <w:r>
              <w:t xml:space="preserve">. </w:t>
            </w: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pikëve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secilën</w:t>
            </w:r>
            <w:proofErr w:type="spellEnd"/>
            <w:r>
              <w:t xml:space="preserve"> </w:t>
            </w:r>
            <w:proofErr w:type="spellStart"/>
            <w:r>
              <w:t>detyrë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10 </w:t>
            </w:r>
            <w:proofErr w:type="spellStart"/>
            <w:r>
              <w:t>pikë</w:t>
            </w:r>
            <w:proofErr w:type="spellEnd"/>
            <w:r>
              <w:t>.</w:t>
            </w:r>
          </w:p>
          <w:p w:rsidR="002D57C7" w:rsidRDefault="002D57C7" w:rsidP="002D57C7">
            <w:pPr>
              <w:jc w:val="both"/>
            </w:pPr>
            <w:proofErr w:type="spellStart"/>
            <w:r>
              <w:t>Detyrat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obligueshme</w:t>
            </w:r>
            <w:proofErr w:type="spellEnd"/>
            <w:r>
              <w:t xml:space="preserve">. Ata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zgjedhin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kenë</w:t>
            </w:r>
            <w:proofErr w:type="spellEnd"/>
            <w:r>
              <w:t xml:space="preserve"> zero </w:t>
            </w:r>
            <w:proofErr w:type="spellStart"/>
            <w:r>
              <w:t>pikë</w:t>
            </w:r>
            <w:proofErr w:type="spellEnd"/>
            <w:r>
              <w:t>.</w:t>
            </w:r>
          </w:p>
          <w:p w:rsidR="002D57C7" w:rsidRDefault="002D57C7" w:rsidP="002D57C7">
            <w:pPr>
              <w:jc w:val="both"/>
            </w:pPr>
          </w:p>
          <w:p w:rsidR="002D57C7" w:rsidRDefault="002D57C7" w:rsidP="002D57C7">
            <w:pPr>
              <w:rPr>
                <w:b/>
              </w:rPr>
            </w:pPr>
            <w:proofErr w:type="spellStart"/>
            <w:r w:rsidRPr="008D6263">
              <w:rPr>
                <w:b/>
              </w:rPr>
              <w:t>Aktiviteti</w:t>
            </w:r>
            <w:proofErr w:type="spellEnd"/>
            <w:r w:rsidRPr="008D6263">
              <w:rPr>
                <w:b/>
              </w:rPr>
              <w:t xml:space="preserve"> </w:t>
            </w:r>
            <w:proofErr w:type="spellStart"/>
            <w:r w:rsidRPr="008D6263">
              <w:rPr>
                <w:b/>
              </w:rPr>
              <w:t>në</w:t>
            </w:r>
            <w:proofErr w:type="spellEnd"/>
            <w:r w:rsidRPr="008D6263">
              <w:rPr>
                <w:b/>
              </w:rPr>
              <w:t xml:space="preserve"> </w:t>
            </w:r>
            <w:proofErr w:type="spellStart"/>
            <w:r w:rsidRPr="008D6263">
              <w:rPr>
                <w:b/>
              </w:rPr>
              <w:t>klasë</w:t>
            </w:r>
            <w:proofErr w:type="spellEnd"/>
          </w:p>
          <w:p w:rsidR="002D57C7" w:rsidRDefault="002D57C7" w:rsidP="002D57C7">
            <w:pPr>
              <w:rPr>
                <w:b/>
              </w:rPr>
            </w:pPr>
          </w:p>
          <w:p w:rsidR="002D57C7" w:rsidRDefault="002D57C7" w:rsidP="002D57C7">
            <w:pPr>
              <w:jc w:val="both"/>
              <w:rPr>
                <w:b/>
              </w:rPr>
            </w:pP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ushtrimeve</w:t>
            </w:r>
            <w:proofErr w:type="spellEnd"/>
            <w:r>
              <w:t xml:space="preserve"> </w:t>
            </w:r>
            <w:proofErr w:type="spellStart"/>
            <w:r>
              <w:t>rregullisht</w:t>
            </w:r>
            <w:proofErr w:type="spellEnd"/>
            <w:r>
              <w:t xml:space="preserve">,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ligjërata</w:t>
            </w:r>
            <w:proofErr w:type="spellEnd"/>
            <w:r>
              <w:t xml:space="preserve"> </w:t>
            </w:r>
            <w:proofErr w:type="spellStart"/>
            <w:r>
              <w:t>herë</w:t>
            </w:r>
            <w:proofErr w:type="spellEnd"/>
            <w:r>
              <w:t xml:space="preserve"> pas here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jipen</w:t>
            </w:r>
            <w:proofErr w:type="spellEnd"/>
            <w:r>
              <w:t xml:space="preserve"> </w:t>
            </w:r>
            <w:proofErr w:type="spellStart"/>
            <w:r>
              <w:t>detyra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zgjidhje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mënyrë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pavarur</w:t>
            </w:r>
            <w:proofErr w:type="spellEnd"/>
            <w:r>
              <w:t xml:space="preserve">. </w:t>
            </w:r>
            <w:proofErr w:type="spellStart"/>
            <w:r>
              <w:t>Studentët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cilët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suksesshëm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zgjidhjen</w:t>
            </w:r>
            <w:proofErr w:type="spellEnd"/>
            <w:r>
              <w:t xml:space="preserve"> e </w:t>
            </w:r>
            <w:proofErr w:type="spellStart"/>
            <w:r>
              <w:t>këtyre</w:t>
            </w:r>
            <w:proofErr w:type="spellEnd"/>
            <w:r>
              <w:t xml:space="preserve"> </w:t>
            </w:r>
            <w:proofErr w:type="spellStart"/>
            <w:r>
              <w:t>detyrave</w:t>
            </w:r>
            <w:proofErr w:type="spellEnd"/>
            <w:r>
              <w:t xml:space="preserve">, </w:t>
            </w:r>
            <w:proofErr w:type="spellStart"/>
            <w:r>
              <w:t>marrin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5 </w:t>
            </w:r>
            <w:proofErr w:type="spellStart"/>
            <w:r>
              <w:t>pikë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detyrë</w:t>
            </w:r>
            <w:proofErr w:type="spellEnd"/>
            <w:r>
              <w:t>.</w:t>
            </w:r>
          </w:p>
          <w:p w:rsidR="002D57C7" w:rsidRDefault="002D57C7" w:rsidP="002D57C7">
            <w:pPr>
              <w:jc w:val="both"/>
              <w:rPr>
                <w:b/>
              </w:rPr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pikëve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mblidhen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pjesë</w:t>
            </w:r>
            <w:proofErr w:type="spellEnd"/>
            <w:r>
              <w:t xml:space="preserve">  </w:t>
            </w:r>
            <w:proofErr w:type="spellStart"/>
            <w:r>
              <w:t>është</w:t>
            </w:r>
            <w:proofErr w:type="spellEnd"/>
            <w:proofErr w:type="gramEnd"/>
            <w:r>
              <w:t xml:space="preserve"> 20. Me 10 </w:t>
            </w:r>
            <w:proofErr w:type="spellStart"/>
            <w:r>
              <w:t>pikë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mbledhura</w:t>
            </w:r>
            <w:proofErr w:type="spellEnd"/>
            <w:r>
              <w:t xml:space="preserve">, </w:t>
            </w:r>
            <w:proofErr w:type="spellStart"/>
            <w:r>
              <w:t>studentët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kenë</w:t>
            </w:r>
            <w:proofErr w:type="spellEnd"/>
            <w:r>
              <w:t xml:space="preserve"> </w:t>
            </w:r>
            <w:proofErr w:type="spellStart"/>
            <w:r>
              <w:t>mundësinë</w:t>
            </w:r>
            <w:proofErr w:type="spellEnd"/>
            <w:r>
              <w:t xml:space="preserve"> e </w:t>
            </w:r>
            <w:proofErr w:type="spellStart"/>
            <w:r>
              <w:t>lirimit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vlerësimi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>.</w:t>
            </w:r>
          </w:p>
          <w:p w:rsidR="002D57C7" w:rsidRPr="002961E5" w:rsidRDefault="002D57C7" w:rsidP="002D57C7">
            <w:pPr>
              <w:jc w:val="both"/>
              <w:rPr>
                <w:b/>
              </w:rPr>
            </w:pPr>
            <w:proofErr w:type="spellStart"/>
            <w:r>
              <w:t>Pjesëmarrja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klasë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detyrueshme</w:t>
            </w:r>
            <w:proofErr w:type="spellEnd"/>
            <w:r>
              <w:t xml:space="preserve"> (</w:t>
            </w:r>
            <w:proofErr w:type="spellStart"/>
            <w:r>
              <w:t>dmth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kontrollohen</w:t>
            </w:r>
            <w:proofErr w:type="spellEnd"/>
            <w:r>
              <w:t xml:space="preserve">). </w:t>
            </w:r>
            <w:proofErr w:type="spellStart"/>
            <w:r>
              <w:t>Sigurisht</w:t>
            </w:r>
            <w:proofErr w:type="spellEnd"/>
            <w:r>
              <w:t xml:space="preserve">,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ata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marrin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mësim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gjendje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marrë</w:t>
            </w:r>
            <w:proofErr w:type="spellEnd"/>
            <w:r>
              <w:t xml:space="preserve"> </w:t>
            </w:r>
            <w:proofErr w:type="spellStart"/>
            <w:r>
              <w:t>pikë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aktivitetin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klasë</w:t>
            </w:r>
            <w:proofErr w:type="spellEnd"/>
            <w:r>
              <w:t>.</w:t>
            </w:r>
          </w:p>
          <w:p w:rsidR="002D57C7" w:rsidRDefault="002D57C7" w:rsidP="002D57C7"/>
          <w:p w:rsidR="002D57C7" w:rsidRDefault="002D57C7" w:rsidP="002D57C7">
            <w:pPr>
              <w:rPr>
                <w:b/>
              </w:rPr>
            </w:pPr>
            <w:proofErr w:type="spellStart"/>
            <w:r w:rsidRPr="002961E5">
              <w:rPr>
                <w:b/>
              </w:rPr>
              <w:t>Provimi</w:t>
            </w:r>
            <w:proofErr w:type="spellEnd"/>
            <w:r w:rsidRPr="002961E5">
              <w:rPr>
                <w:b/>
              </w:rPr>
              <w:t xml:space="preserve"> </w:t>
            </w:r>
            <w:proofErr w:type="spellStart"/>
            <w:r w:rsidRPr="002961E5">
              <w:rPr>
                <w:b/>
              </w:rPr>
              <w:t>përfundimtar</w:t>
            </w:r>
            <w:proofErr w:type="spellEnd"/>
          </w:p>
          <w:p w:rsidR="002D57C7" w:rsidRDefault="002D57C7" w:rsidP="002D57C7">
            <w:pPr>
              <w:rPr>
                <w:b/>
              </w:rPr>
            </w:pPr>
          </w:p>
          <w:p w:rsidR="002D57C7" w:rsidRDefault="002D57C7" w:rsidP="002D57C7">
            <w:pPr>
              <w:jc w:val="both"/>
            </w:pPr>
            <w:proofErr w:type="spellStart"/>
            <w:r>
              <w:t>Provimi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me </w:t>
            </w:r>
            <w:proofErr w:type="spellStart"/>
            <w:r>
              <w:t>gojë</w:t>
            </w:r>
            <w:proofErr w:type="spellEnd"/>
            <w:r>
              <w:t xml:space="preserve">; </w:t>
            </w:r>
            <w:proofErr w:type="spellStart"/>
            <w:r>
              <w:t>verifikohet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kuptuarit</w:t>
            </w:r>
            <w:proofErr w:type="spellEnd"/>
            <w:r>
              <w:t xml:space="preserve"> e </w:t>
            </w:r>
            <w:proofErr w:type="spellStart"/>
            <w:r>
              <w:t>përmbajtjes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ligjërata</w:t>
            </w:r>
            <w:proofErr w:type="spellEnd"/>
            <w:r>
              <w:t>.</w:t>
            </w:r>
          </w:p>
          <w:p w:rsidR="002D57C7" w:rsidRPr="00482CD4" w:rsidRDefault="002D57C7" w:rsidP="002D57C7">
            <w:pPr>
              <w:jc w:val="both"/>
            </w:pPr>
            <w:proofErr w:type="spellStart"/>
            <w:r>
              <w:t>Kushti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hyrje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provimin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,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total </w:t>
            </w:r>
            <w:proofErr w:type="spellStart"/>
            <w:r>
              <w:t>prej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paktën</w:t>
            </w:r>
            <w:proofErr w:type="spellEnd"/>
            <w:r>
              <w:t xml:space="preserve"> 50 </w:t>
            </w:r>
            <w:proofErr w:type="spellStart"/>
            <w:r>
              <w:t>pikë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mbledhura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kollokuiumet</w:t>
            </w:r>
            <w:proofErr w:type="spellEnd"/>
            <w:r>
              <w:t xml:space="preserve">, </w:t>
            </w:r>
            <w:proofErr w:type="spellStart"/>
            <w:r>
              <w:t>detyrat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aktivitetet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klasë</w:t>
            </w:r>
            <w:proofErr w:type="spellEnd"/>
            <w:r>
              <w:t>.</w:t>
            </w:r>
          </w:p>
          <w:p w:rsidR="002D57C7" w:rsidRDefault="002D57C7" w:rsidP="002D57C7">
            <w:pPr>
              <w:jc w:val="both"/>
              <w:rPr>
                <w:b/>
              </w:rPr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pikëve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mundshme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marrë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provimin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40 </w:t>
            </w:r>
            <w:proofErr w:type="spellStart"/>
            <w:r>
              <w:t>pikë</w:t>
            </w:r>
            <w:proofErr w:type="spellEnd"/>
            <w:r>
              <w:t>.</w:t>
            </w:r>
          </w:p>
          <w:p w:rsidR="002D57C7" w:rsidRDefault="002D57C7" w:rsidP="002D57C7">
            <w:pPr>
              <w:jc w:val="both"/>
            </w:pPr>
            <w:proofErr w:type="spellStart"/>
            <w:r w:rsidRPr="00482CD4">
              <w:lastRenderedPageBreak/>
              <w:t>Student</w:t>
            </w:r>
            <w:r>
              <w:t>ë</w:t>
            </w:r>
            <w:r w:rsidRPr="00482CD4">
              <w:t>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cilët</w:t>
            </w:r>
            <w:proofErr w:type="spellEnd"/>
            <w:r>
              <w:t xml:space="preserve"> </w:t>
            </w:r>
            <w:proofErr w:type="spellStart"/>
            <w:r>
              <w:t>përmes</w:t>
            </w:r>
            <w:proofErr w:type="spellEnd"/>
            <w:r>
              <w:t xml:space="preserve"> </w:t>
            </w:r>
            <w:proofErr w:type="spellStart"/>
            <w:r>
              <w:t>aktiviteteve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klasë</w:t>
            </w:r>
            <w:proofErr w:type="spellEnd"/>
            <w:r>
              <w:t xml:space="preserve"> </w:t>
            </w:r>
            <w:proofErr w:type="spellStart"/>
            <w:r>
              <w:t>mbledhin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paktën</w:t>
            </w:r>
            <w:proofErr w:type="spellEnd"/>
            <w:r>
              <w:t xml:space="preserve"> 10 </w:t>
            </w:r>
            <w:proofErr w:type="spellStart"/>
            <w:r>
              <w:t>pikë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e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detyrueshme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hyjnë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provim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marrin</w:t>
            </w:r>
            <w:proofErr w:type="spellEnd"/>
            <w:r>
              <w:t xml:space="preserve"> </w:t>
            </w:r>
            <w:proofErr w:type="spellStart"/>
            <w:r>
              <w:t>notën</w:t>
            </w:r>
            <w:proofErr w:type="spellEnd"/>
            <w:r>
              <w:t xml:space="preserve"> </w:t>
            </w:r>
            <w:proofErr w:type="spellStart"/>
            <w:r>
              <w:t>bazuar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kollokuiumet</w:t>
            </w:r>
            <w:proofErr w:type="spellEnd"/>
            <w:r>
              <w:t xml:space="preserve"> </w:t>
            </w:r>
            <w:proofErr w:type="spellStart"/>
            <w:r>
              <w:t>periodike</w:t>
            </w:r>
            <w:proofErr w:type="spellEnd"/>
            <w:r>
              <w:t xml:space="preserve">, </w:t>
            </w:r>
            <w:proofErr w:type="spellStart"/>
            <w:r>
              <w:t>detyrat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aktiviteti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klasë</w:t>
            </w:r>
            <w:proofErr w:type="spellEnd"/>
            <w:r>
              <w:t>.</w:t>
            </w:r>
          </w:p>
          <w:p w:rsidR="002D57C7" w:rsidRDefault="002D57C7" w:rsidP="002D57C7">
            <w:pPr>
              <w:jc w:val="both"/>
            </w:pPr>
          </w:p>
          <w:p w:rsidR="002D57C7" w:rsidRDefault="002D57C7" w:rsidP="002D57C7"/>
          <w:p w:rsidR="002D57C7" w:rsidRDefault="002D57C7" w:rsidP="002D57C7">
            <w:pPr>
              <w:rPr>
                <w:b/>
              </w:rPr>
            </w:pPr>
            <w:proofErr w:type="spellStart"/>
            <w:r w:rsidRPr="00482CD4">
              <w:rPr>
                <w:b/>
              </w:rPr>
              <w:t>Provimi</w:t>
            </w:r>
            <w:proofErr w:type="spellEnd"/>
            <w:r w:rsidRPr="00482CD4">
              <w:rPr>
                <w:b/>
              </w:rPr>
              <w:t xml:space="preserve"> </w:t>
            </w:r>
            <w:proofErr w:type="spellStart"/>
            <w:r w:rsidRPr="00482CD4">
              <w:rPr>
                <w:b/>
              </w:rPr>
              <w:t>p</w:t>
            </w:r>
            <w:r>
              <w:rPr>
                <w:b/>
              </w:rPr>
              <w:t>ë</w:t>
            </w:r>
            <w:r w:rsidRPr="00482CD4">
              <w:rPr>
                <w:b/>
              </w:rPr>
              <w:t>rmi</w:t>
            </w:r>
            <w:r>
              <w:rPr>
                <w:b/>
              </w:rPr>
              <w:t>rë</w:t>
            </w:r>
            <w:r w:rsidRPr="00482CD4">
              <w:rPr>
                <w:b/>
              </w:rPr>
              <w:t>sues</w:t>
            </w:r>
            <w:proofErr w:type="spellEnd"/>
          </w:p>
          <w:p w:rsidR="002D57C7" w:rsidRDefault="002D57C7" w:rsidP="002D57C7">
            <w:pPr>
              <w:rPr>
                <w:b/>
              </w:rPr>
            </w:pPr>
          </w:p>
          <w:p w:rsidR="002D57C7" w:rsidRDefault="002D57C7" w:rsidP="002D57C7">
            <w:pPr>
              <w:jc w:val="both"/>
              <w:rPr>
                <w:b/>
              </w:rPr>
            </w:pPr>
            <w:proofErr w:type="spellStart"/>
            <w:r w:rsidRPr="00482CD4">
              <w:t>P</w:t>
            </w:r>
            <w:r>
              <w:t>ë</w:t>
            </w:r>
            <w:r w:rsidRPr="00482CD4">
              <w:t>rmisimi</w:t>
            </w:r>
            <w:proofErr w:type="spellEnd"/>
            <w:r w:rsidRPr="00482CD4">
              <w:t xml:space="preserve"> </w:t>
            </w:r>
            <w:proofErr w:type="spellStart"/>
            <w:r w:rsidRPr="00482CD4">
              <w:t>i</w:t>
            </w:r>
            <w:proofErr w:type="spellEnd"/>
            <w:r w:rsidRPr="00482CD4">
              <w:t xml:space="preserve"> </w:t>
            </w:r>
            <w:proofErr w:type="spellStart"/>
            <w:r>
              <w:t>pikëve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bëhet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shumti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kollokuiumet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provimin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. Pas </w:t>
            </w:r>
            <w:proofErr w:type="spellStart"/>
            <w:r>
              <w:t>kollokuiumit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dytë</w:t>
            </w:r>
            <w:proofErr w:type="spellEnd"/>
            <w:r>
              <w:t xml:space="preserve"> </w:t>
            </w:r>
            <w:proofErr w:type="spellStart"/>
            <w:r>
              <w:t>studentët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zgjedhin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cilin</w:t>
            </w:r>
            <w:proofErr w:type="spellEnd"/>
            <w:r>
              <w:t xml:space="preserve"> </w:t>
            </w:r>
            <w:proofErr w:type="spellStart"/>
            <w:r>
              <w:t>kollokuiumit</w:t>
            </w:r>
            <w:proofErr w:type="spellEnd"/>
            <w:r>
              <w:t xml:space="preserve"> </w:t>
            </w:r>
            <w:proofErr w:type="spellStart"/>
            <w:r>
              <w:t>dëshirojnë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përmisojnë</w:t>
            </w:r>
            <w:proofErr w:type="spellEnd"/>
            <w:r>
              <w:t xml:space="preserve"> </w:t>
            </w:r>
            <w:proofErr w:type="spellStart"/>
            <w:r>
              <w:t>pikët</w:t>
            </w:r>
            <w:proofErr w:type="spellEnd"/>
            <w:r>
              <w:t xml:space="preserve">. </w:t>
            </w:r>
          </w:p>
          <w:p w:rsidR="002D57C7" w:rsidRDefault="002D57C7" w:rsidP="002D57C7">
            <w:pPr>
              <w:jc w:val="both"/>
            </w:pPr>
            <w:proofErr w:type="spellStart"/>
            <w:r>
              <w:t>Studentët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cilët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kënaqur</w:t>
            </w:r>
            <w:proofErr w:type="spellEnd"/>
            <w:r>
              <w:t xml:space="preserve"> me </w:t>
            </w:r>
            <w:proofErr w:type="spellStart"/>
            <w:r>
              <w:t>rezultatin</w:t>
            </w:r>
            <w:proofErr w:type="spellEnd"/>
            <w:r>
              <w:t xml:space="preserve"> e </w:t>
            </w:r>
            <w:proofErr w:type="spellStart"/>
            <w:r>
              <w:t>vlerësimit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cilët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nënshtruar</w:t>
            </w:r>
            <w:proofErr w:type="spellEnd"/>
            <w:r>
              <w:t xml:space="preserve"> </w:t>
            </w:r>
            <w:proofErr w:type="spellStart"/>
            <w:r>
              <w:t>kollokuiumit</w:t>
            </w:r>
            <w:proofErr w:type="spellEnd"/>
            <w:r>
              <w:t xml:space="preserve"> </w:t>
            </w:r>
            <w:proofErr w:type="spellStart"/>
            <w:r>
              <w:t>përmirësues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lartë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hyjnë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test </w:t>
            </w:r>
            <w:proofErr w:type="spellStart"/>
            <w:r>
              <w:t>përmirësues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provimit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. </w:t>
            </w:r>
            <w:proofErr w:type="spellStart"/>
            <w:r>
              <w:t>Ky</w:t>
            </w:r>
            <w:proofErr w:type="spellEnd"/>
            <w:r>
              <w:t xml:space="preserve"> test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jetë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njëjtën</w:t>
            </w:r>
            <w:proofErr w:type="spellEnd"/>
            <w:r>
              <w:t xml:space="preserve"> </w:t>
            </w:r>
            <w:proofErr w:type="spellStart"/>
            <w:r>
              <w:t>kohë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provimit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studentët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cilët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kërkuar</w:t>
            </w:r>
            <w:proofErr w:type="spellEnd"/>
            <w:r>
              <w:t xml:space="preserve"> test </w:t>
            </w:r>
            <w:proofErr w:type="spellStart"/>
            <w:r>
              <w:t>përmisues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kollokuiumet</w:t>
            </w:r>
            <w:proofErr w:type="spellEnd"/>
            <w:r>
              <w:t xml:space="preserve">. </w:t>
            </w:r>
          </w:p>
          <w:p w:rsidR="002D57C7" w:rsidRDefault="002D57C7" w:rsidP="002D57C7">
            <w:pPr>
              <w:rPr>
                <w:b/>
              </w:rPr>
            </w:pPr>
          </w:p>
          <w:p w:rsidR="002D57C7" w:rsidRDefault="002D57C7" w:rsidP="002D57C7">
            <w:pPr>
              <w:rPr>
                <w:b/>
              </w:rPr>
            </w:pPr>
            <w:r w:rsidRPr="001724DE">
              <w:rPr>
                <w:b/>
              </w:rPr>
              <w:t xml:space="preserve">Nota </w:t>
            </w:r>
            <w:proofErr w:type="spellStart"/>
            <w:r w:rsidRPr="001724DE">
              <w:rPr>
                <w:b/>
              </w:rPr>
              <w:t>përfundimtare</w:t>
            </w:r>
            <w:proofErr w:type="spellEnd"/>
          </w:p>
          <w:p w:rsidR="002D57C7" w:rsidRDefault="002D57C7" w:rsidP="002D57C7">
            <w:pPr>
              <w:rPr>
                <w:b/>
              </w:rPr>
            </w:pPr>
          </w:p>
          <w:p w:rsidR="002D57C7" w:rsidRDefault="002D57C7" w:rsidP="002D57C7">
            <w:pPr>
              <w:jc w:val="both"/>
            </w:pPr>
            <w:r>
              <w:t xml:space="preserve">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mblidhen</w:t>
            </w:r>
            <w:proofErr w:type="spellEnd"/>
            <w:r>
              <w:t xml:space="preserve"> </w:t>
            </w:r>
            <w:proofErr w:type="spellStart"/>
            <w:r>
              <w:t>pikët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kollokuiumi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parë</w:t>
            </w:r>
            <w:proofErr w:type="spellEnd"/>
            <w:r>
              <w:t xml:space="preserve"> (max 60 </w:t>
            </w:r>
            <w:proofErr w:type="spellStart"/>
            <w:r>
              <w:t>pikë</w:t>
            </w:r>
            <w:proofErr w:type="spellEnd"/>
            <w:r>
              <w:t xml:space="preserve">), </w:t>
            </w:r>
            <w:proofErr w:type="spellStart"/>
            <w:r>
              <w:t>kollokuiumi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dytë</w:t>
            </w:r>
            <w:proofErr w:type="spellEnd"/>
            <w:r>
              <w:t xml:space="preserve"> (max 60 </w:t>
            </w:r>
            <w:proofErr w:type="spellStart"/>
            <w:r>
              <w:t>pikë</w:t>
            </w:r>
            <w:proofErr w:type="spellEnd"/>
            <w:r>
              <w:t xml:space="preserve">), </w:t>
            </w:r>
            <w:proofErr w:type="spellStart"/>
            <w:r>
              <w:t>zgjidhjen</w:t>
            </w:r>
            <w:proofErr w:type="spellEnd"/>
            <w:r>
              <w:t xml:space="preserve"> e </w:t>
            </w:r>
            <w:proofErr w:type="spellStart"/>
            <w:r>
              <w:t>detyrave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shtëpisë</w:t>
            </w:r>
            <w:proofErr w:type="spellEnd"/>
            <w:r>
              <w:t xml:space="preserve"> (max 20 </w:t>
            </w:r>
            <w:proofErr w:type="spellStart"/>
            <w:r>
              <w:t>pikë</w:t>
            </w:r>
            <w:proofErr w:type="spellEnd"/>
            <w:r>
              <w:t xml:space="preserve">), </w:t>
            </w:r>
            <w:proofErr w:type="spellStart"/>
            <w:r>
              <w:t>aktiviteti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klasë</w:t>
            </w:r>
            <w:proofErr w:type="spellEnd"/>
            <w:r>
              <w:t xml:space="preserve"> (max 20 </w:t>
            </w:r>
            <w:proofErr w:type="spellStart"/>
            <w:r>
              <w:t>pikë</w:t>
            </w:r>
            <w:proofErr w:type="spellEnd"/>
            <w:r>
              <w:t xml:space="preserve">)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provimi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 (max 40 </w:t>
            </w:r>
            <w:proofErr w:type="spellStart"/>
            <w:r>
              <w:t>pikë</w:t>
            </w:r>
            <w:proofErr w:type="spellEnd"/>
            <w:r>
              <w:t>). (</w:t>
            </w:r>
            <w:proofErr w:type="spellStart"/>
            <w:r>
              <w:t>Studentët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cilët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liruar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provimi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, do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mblidhen</w:t>
            </w:r>
            <w:proofErr w:type="spellEnd"/>
            <w:r>
              <w:t xml:space="preserve"> </w:t>
            </w:r>
            <w:proofErr w:type="spellStart"/>
            <w:r>
              <w:t>pikët</w:t>
            </w:r>
            <w:proofErr w:type="spellEnd"/>
            <w:r>
              <w:t xml:space="preserve"> </w:t>
            </w:r>
            <w:proofErr w:type="spellStart"/>
            <w:r>
              <w:t>vetëm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katër</w:t>
            </w:r>
            <w:proofErr w:type="spellEnd"/>
            <w:r>
              <w:t xml:space="preserve"> </w:t>
            </w:r>
            <w:proofErr w:type="spellStart"/>
            <w:r>
              <w:t>komponentat</w:t>
            </w:r>
            <w:proofErr w:type="spellEnd"/>
            <w:r>
              <w:t xml:space="preserve"> e para.</w:t>
            </w:r>
          </w:p>
          <w:p w:rsidR="002D57C7" w:rsidRDefault="002D57C7" w:rsidP="002D57C7">
            <w:pPr>
              <w:jc w:val="both"/>
            </w:pPr>
          </w:p>
          <w:p w:rsidR="002D57C7" w:rsidRDefault="002D57C7" w:rsidP="002D57C7">
            <w:proofErr w:type="spellStart"/>
            <w:r w:rsidRPr="00CF2802">
              <w:rPr>
                <w:b/>
              </w:rPr>
              <w:t>Notat</w:t>
            </w:r>
            <w:proofErr w:type="spellEnd"/>
            <w:r>
              <w:t>:</w:t>
            </w:r>
          </w:p>
          <w:p w:rsidR="002D57C7" w:rsidRPr="00CF2802" w:rsidRDefault="002D57C7" w:rsidP="002D57C7">
            <w:pPr>
              <w:rPr>
                <w:b/>
              </w:rPr>
            </w:pPr>
          </w:p>
          <w:p w:rsidR="002D57C7" w:rsidRDefault="002D57C7" w:rsidP="002D57C7">
            <w:pPr>
              <w:ind w:firstLine="720"/>
            </w:pPr>
            <w:r>
              <w:t>&gt; 90%          nota 10;</w:t>
            </w:r>
          </w:p>
          <w:p w:rsidR="002D57C7" w:rsidRDefault="002D57C7" w:rsidP="002D57C7">
            <w:pPr>
              <w:ind w:firstLine="720"/>
            </w:pPr>
            <w:r>
              <w:t>&gt; 80%          nota 9;</w:t>
            </w:r>
          </w:p>
          <w:p w:rsidR="002D57C7" w:rsidRDefault="002D57C7" w:rsidP="002D57C7">
            <w:pPr>
              <w:ind w:firstLine="720"/>
            </w:pPr>
            <w:r>
              <w:t>&gt; 70%          nota 8;</w:t>
            </w:r>
          </w:p>
          <w:p w:rsidR="002D57C7" w:rsidRDefault="002D57C7" w:rsidP="002D57C7">
            <w:pPr>
              <w:ind w:firstLine="720"/>
            </w:pPr>
            <w:r>
              <w:t>&gt; 60%          nota 7;</w:t>
            </w:r>
          </w:p>
          <w:p w:rsidR="002D57C7" w:rsidRDefault="002D57C7" w:rsidP="002D57C7">
            <w:pPr>
              <w:ind w:firstLine="720"/>
            </w:pPr>
            <w:r>
              <w:t>&gt;= 45%        nota 6.</w:t>
            </w:r>
          </w:p>
          <w:p w:rsidR="00183923" w:rsidRPr="00CF380D" w:rsidRDefault="00183923" w:rsidP="008E5634">
            <w:pPr>
              <w:jc w:val="both"/>
              <w:rPr>
                <w:rFonts w:ascii="Calibri" w:hAnsi="Calibri" w:cs="Calibri"/>
                <w:lang w:val="sq-AL"/>
              </w:rPr>
            </w:pPr>
          </w:p>
        </w:tc>
      </w:tr>
      <w:tr w:rsidR="00183923" w:rsidRPr="00CF380D" w:rsidTr="00E643B3">
        <w:tc>
          <w:tcPr>
            <w:tcW w:w="8630" w:type="dxa"/>
            <w:gridSpan w:val="4"/>
            <w:shd w:val="clear" w:color="auto" w:fill="B8CCE4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lastRenderedPageBreak/>
              <w:t xml:space="preserve">Literatura </w:t>
            </w:r>
          </w:p>
        </w:tc>
      </w:tr>
      <w:tr w:rsidR="004C1E99" w:rsidRPr="00CF380D" w:rsidTr="00E643B3">
        <w:tc>
          <w:tcPr>
            <w:tcW w:w="3574" w:type="dxa"/>
          </w:tcPr>
          <w:p w:rsidR="004C1E99" w:rsidRPr="00CF380D" w:rsidRDefault="004C1E99" w:rsidP="004C1E99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056" w:type="dxa"/>
            <w:gridSpan w:val="3"/>
          </w:tcPr>
          <w:p w:rsidR="004C1E99" w:rsidRDefault="004C1E99" w:rsidP="004C1E99">
            <w:pPr>
              <w:pStyle w:val="NormalWeb"/>
              <w:numPr>
                <w:ilvl w:val="0"/>
                <w:numId w:val="15"/>
              </w:numPr>
              <w:shd w:val="clear" w:color="auto" w:fill="FDFDFD"/>
              <w:spacing w:before="120" w:after="120"/>
              <w:jc w:val="both"/>
              <w:rPr>
                <w:rFonts w:ascii="Book Antiqua" w:hAnsi="Book Antiqua"/>
              </w:rPr>
            </w:pPr>
            <w:r w:rsidRPr="00AB7527">
              <w:rPr>
                <w:rFonts w:ascii="Book Antiqua" w:hAnsi="Book Antiqua"/>
              </w:rPr>
              <w:t xml:space="preserve">D. M. Burton, </w:t>
            </w:r>
            <w:r w:rsidRPr="00AB7527">
              <w:rPr>
                <w:rFonts w:ascii="Book Antiqua" w:hAnsi="Book Antiqua"/>
                <w:i/>
              </w:rPr>
              <w:t>Elementary Number Theory</w:t>
            </w:r>
            <w:r w:rsidRPr="00AB7527">
              <w:rPr>
                <w:rFonts w:ascii="Book Antiqua" w:hAnsi="Book Antiqua"/>
              </w:rPr>
              <w:t>, McGraw-Hill Higher Education, 2005.</w:t>
            </w:r>
          </w:p>
          <w:p w:rsidR="004C1E99" w:rsidRPr="00AB7527" w:rsidRDefault="004C1E99" w:rsidP="004C1E99">
            <w:pPr>
              <w:pStyle w:val="NormalWeb"/>
              <w:shd w:val="clear" w:color="auto" w:fill="FDFDFD"/>
              <w:spacing w:before="120" w:after="120"/>
              <w:ind w:left="360"/>
              <w:jc w:val="both"/>
              <w:rPr>
                <w:rFonts w:ascii="Book Antiqua" w:hAnsi="Book Antiqua"/>
              </w:rPr>
            </w:pPr>
            <w:r w:rsidRPr="00AB7527">
              <w:rPr>
                <w:rFonts w:ascii="Book Antiqua" w:hAnsi="Book Antiqua"/>
              </w:rPr>
              <w:lastRenderedPageBreak/>
              <w:t>2.    K. H. Rosen, </w:t>
            </w:r>
            <w:r w:rsidRPr="00AB7527">
              <w:rPr>
                <w:rStyle w:val="Emphasis"/>
                <w:rFonts w:ascii="Book Antiqua" w:hAnsi="Book Antiqua"/>
              </w:rPr>
              <w:t>Elementary Number Theory and Its Applications</w:t>
            </w:r>
            <w:r w:rsidRPr="00AB7527">
              <w:rPr>
                <w:rFonts w:ascii="Book Antiqua" w:hAnsi="Book Antiqua"/>
              </w:rPr>
              <w:t>, Addison - Wesley, 1993.</w:t>
            </w:r>
          </w:p>
        </w:tc>
      </w:tr>
      <w:tr w:rsidR="004C1E99" w:rsidRPr="00CF380D" w:rsidTr="00E643B3">
        <w:tc>
          <w:tcPr>
            <w:tcW w:w="3574" w:type="dxa"/>
          </w:tcPr>
          <w:p w:rsidR="004C1E99" w:rsidRPr="00CF380D" w:rsidRDefault="004C1E99" w:rsidP="004C1E99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lastRenderedPageBreak/>
              <w:t xml:space="preserve">Literatura shtesë:  </w:t>
            </w:r>
          </w:p>
        </w:tc>
        <w:tc>
          <w:tcPr>
            <w:tcW w:w="5056" w:type="dxa"/>
            <w:gridSpan w:val="3"/>
          </w:tcPr>
          <w:p w:rsidR="004C1E99" w:rsidRPr="00EC4B0A" w:rsidRDefault="004C1E99" w:rsidP="004C1E99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="Book Antiqua" w:hAnsi="Book Antiqua"/>
              </w:rPr>
            </w:pPr>
            <w:r w:rsidRPr="00EC4B0A">
              <w:rPr>
                <w:rFonts w:ascii="Book Antiqua" w:hAnsi="Book Antiqua"/>
              </w:rPr>
              <w:t>1.    H. Davenport, </w:t>
            </w:r>
            <w:r w:rsidRPr="00EC4B0A">
              <w:rPr>
                <w:rStyle w:val="Emphasis"/>
                <w:rFonts w:ascii="Book Antiqua" w:hAnsi="Book Antiqua"/>
              </w:rPr>
              <w:t>The Higher Arithmetic</w:t>
            </w:r>
            <w:r w:rsidRPr="00EC4B0A">
              <w:rPr>
                <w:rFonts w:ascii="Book Antiqua" w:hAnsi="Book Antiqua"/>
              </w:rPr>
              <w:t>, Cambridge University Press, 1999.</w:t>
            </w:r>
          </w:p>
          <w:p w:rsidR="004C1E99" w:rsidRPr="00EC4B0A" w:rsidRDefault="004C1E99" w:rsidP="004C1E99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="Book Antiqua" w:hAnsi="Book Antiqua"/>
              </w:rPr>
            </w:pPr>
            <w:r w:rsidRPr="00EC4B0A">
              <w:rPr>
                <w:rFonts w:ascii="Book Antiqua" w:hAnsi="Book Antiqua"/>
              </w:rPr>
              <w:t>2.    I. Niven, H. S. Zuckerman, H. L. Montgomery, </w:t>
            </w:r>
            <w:r w:rsidRPr="00EC4B0A">
              <w:rPr>
                <w:rStyle w:val="Emphasis"/>
                <w:rFonts w:ascii="Book Antiqua" w:hAnsi="Book Antiqua"/>
              </w:rPr>
              <w:t>An Introduction to the Theory Numbers</w:t>
            </w:r>
            <w:r w:rsidRPr="00EC4B0A">
              <w:rPr>
                <w:rFonts w:ascii="Book Antiqua" w:hAnsi="Book Antiqua"/>
              </w:rPr>
              <w:t>, John Wiley &amp; Sons, 1991.</w:t>
            </w:r>
          </w:p>
          <w:p w:rsidR="004C1E99" w:rsidRPr="00EC4B0A" w:rsidRDefault="004C1E99" w:rsidP="004C1E99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="Book Antiqua" w:hAnsi="Book Antiqua"/>
              </w:rPr>
            </w:pPr>
            <w:r w:rsidRPr="00EC4B0A">
              <w:rPr>
                <w:rFonts w:ascii="Book Antiqua" w:hAnsi="Book Antiqua"/>
              </w:rPr>
              <w:t xml:space="preserve">3.    H. L. </w:t>
            </w:r>
            <w:proofErr w:type="spellStart"/>
            <w:r w:rsidRPr="00EC4B0A">
              <w:rPr>
                <w:rFonts w:ascii="Book Antiqua" w:hAnsi="Book Antiqua"/>
              </w:rPr>
              <w:t>Keng</w:t>
            </w:r>
            <w:proofErr w:type="spellEnd"/>
            <w:r w:rsidRPr="00EC4B0A">
              <w:rPr>
                <w:rFonts w:ascii="Book Antiqua" w:hAnsi="Book Antiqua"/>
              </w:rPr>
              <w:t>, </w:t>
            </w:r>
            <w:r w:rsidRPr="00EC4B0A">
              <w:rPr>
                <w:rStyle w:val="Emphasis"/>
                <w:rFonts w:ascii="Book Antiqua" w:hAnsi="Book Antiqua"/>
              </w:rPr>
              <w:t>Introduction to Number Theory</w:t>
            </w:r>
            <w:r w:rsidRPr="00EC4B0A">
              <w:rPr>
                <w:rFonts w:ascii="Book Antiqua" w:hAnsi="Book Antiqua"/>
              </w:rPr>
              <w:t xml:space="preserve">, Springer </w:t>
            </w:r>
            <w:proofErr w:type="spellStart"/>
            <w:r w:rsidRPr="00EC4B0A">
              <w:rPr>
                <w:rFonts w:ascii="Book Antiqua" w:hAnsi="Book Antiqua"/>
              </w:rPr>
              <w:t>Verlag</w:t>
            </w:r>
            <w:proofErr w:type="spellEnd"/>
            <w:r w:rsidRPr="00EC4B0A">
              <w:rPr>
                <w:rFonts w:ascii="Book Antiqua" w:hAnsi="Book Antiqua"/>
              </w:rPr>
              <w:t>, 1982.</w:t>
            </w:r>
          </w:p>
          <w:p w:rsidR="004C1E99" w:rsidRPr="00EC4B0A" w:rsidRDefault="004C1E99" w:rsidP="004C1E99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="Book Antiqua" w:hAnsi="Book Antiqua"/>
              </w:rPr>
            </w:pPr>
            <w:r w:rsidRPr="00EC4B0A">
              <w:rPr>
                <w:rFonts w:ascii="Book Antiqua" w:hAnsi="Book Antiqua"/>
              </w:rPr>
              <w:t>4.    K. Ireland, M. Rosen, </w:t>
            </w:r>
            <w:r w:rsidRPr="00EC4B0A">
              <w:rPr>
                <w:rStyle w:val="Emphasis"/>
                <w:rFonts w:ascii="Book Antiqua" w:hAnsi="Book Antiqua"/>
              </w:rPr>
              <w:t>A Classical Introduction to Modern Number Theory</w:t>
            </w:r>
            <w:r w:rsidRPr="00EC4B0A">
              <w:rPr>
                <w:rFonts w:ascii="Book Antiqua" w:hAnsi="Book Antiqua"/>
              </w:rPr>
              <w:t xml:space="preserve">, Springer </w:t>
            </w:r>
            <w:proofErr w:type="spellStart"/>
            <w:r w:rsidRPr="00EC4B0A">
              <w:rPr>
                <w:rFonts w:ascii="Book Antiqua" w:hAnsi="Book Antiqua"/>
              </w:rPr>
              <w:t>Verlag</w:t>
            </w:r>
            <w:proofErr w:type="spellEnd"/>
            <w:r w:rsidRPr="00EC4B0A">
              <w:rPr>
                <w:rFonts w:ascii="Book Antiqua" w:hAnsi="Book Antiqua"/>
              </w:rPr>
              <w:t>, 1998.</w:t>
            </w:r>
          </w:p>
          <w:p w:rsidR="004C1E99" w:rsidRPr="00EC4B0A" w:rsidRDefault="004C1E99" w:rsidP="004C1E99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="Book Antiqua" w:hAnsi="Book Antiqua"/>
              </w:rPr>
            </w:pPr>
            <w:r w:rsidRPr="00EC4B0A">
              <w:rPr>
                <w:rFonts w:ascii="Book Antiqua" w:hAnsi="Book Antiqua"/>
              </w:rPr>
              <w:t xml:space="preserve">5.    T. </w:t>
            </w:r>
            <w:proofErr w:type="spellStart"/>
            <w:r w:rsidRPr="00EC4B0A">
              <w:rPr>
                <w:rFonts w:ascii="Book Antiqua" w:hAnsi="Book Antiqua"/>
              </w:rPr>
              <w:t>Nagell</w:t>
            </w:r>
            <w:proofErr w:type="spellEnd"/>
            <w:r w:rsidRPr="00EC4B0A">
              <w:rPr>
                <w:rFonts w:ascii="Book Antiqua" w:hAnsi="Book Antiqua"/>
              </w:rPr>
              <w:t>, </w:t>
            </w:r>
            <w:r w:rsidRPr="00EC4B0A">
              <w:rPr>
                <w:rStyle w:val="Emphasis"/>
                <w:rFonts w:ascii="Book Antiqua" w:hAnsi="Book Antiqua"/>
              </w:rPr>
              <w:t>Introduction to Number Theory</w:t>
            </w:r>
            <w:r w:rsidRPr="00EC4B0A">
              <w:rPr>
                <w:rFonts w:ascii="Book Antiqua" w:hAnsi="Book Antiqua"/>
              </w:rPr>
              <w:t>, Chelsea, 1981.</w:t>
            </w:r>
          </w:p>
          <w:p w:rsidR="004C1E99" w:rsidRDefault="004C1E99" w:rsidP="004C1E99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="Book Antiqua" w:hAnsi="Book Antiqua"/>
              </w:rPr>
            </w:pPr>
            <w:r w:rsidRPr="00EC4B0A">
              <w:rPr>
                <w:rFonts w:ascii="Book Antiqua" w:hAnsi="Book Antiqua"/>
              </w:rPr>
              <w:t>6.    </w:t>
            </w:r>
            <w:r w:rsidRPr="00363251">
              <w:rPr>
                <w:rFonts w:ascii="Book Antiqua" w:hAnsi="Book Antiqua"/>
              </w:rPr>
              <w:t>U.-A Dudley</w:t>
            </w:r>
            <w:r>
              <w:rPr>
                <w:rFonts w:ascii="Book Antiqua" w:hAnsi="Book Antiqua"/>
              </w:rPr>
              <w:t>,</w:t>
            </w:r>
            <w:r w:rsidRPr="00363251">
              <w:rPr>
                <w:rFonts w:ascii="Book Antiqua" w:hAnsi="Book Antiqua"/>
              </w:rPr>
              <w:t xml:space="preserve"> </w:t>
            </w:r>
            <w:r w:rsidRPr="000A7F83">
              <w:rPr>
                <w:rFonts w:ascii="Book Antiqua" w:hAnsi="Book Antiqua"/>
                <w:i/>
              </w:rPr>
              <w:t>Guide to Elementary Number Theory</w:t>
            </w:r>
            <w:r>
              <w:rPr>
                <w:rFonts w:ascii="Book Antiqua" w:hAnsi="Book Antiqua"/>
                <w:i/>
              </w:rPr>
              <w:t xml:space="preserve">, </w:t>
            </w:r>
            <w:r w:rsidRPr="00363251">
              <w:rPr>
                <w:rFonts w:ascii="Book Antiqua" w:hAnsi="Book Antiqua"/>
              </w:rPr>
              <w:t>Mathematical Association of America</w:t>
            </w:r>
            <w:r>
              <w:rPr>
                <w:rFonts w:ascii="Book Antiqua" w:hAnsi="Book Antiqua"/>
              </w:rPr>
              <w:t>,</w:t>
            </w:r>
            <w:r w:rsidRPr="00363251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2009.</w:t>
            </w:r>
          </w:p>
          <w:p w:rsidR="004C1E99" w:rsidRPr="00EC4B0A" w:rsidRDefault="004C1E99" w:rsidP="004C1E99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="Book Antiqua" w:hAnsi="Book Antiqua"/>
              </w:rPr>
            </w:pPr>
            <w:r w:rsidRPr="00EC4B0A">
              <w:rPr>
                <w:rFonts w:ascii="Book Antiqua" w:hAnsi="Book Antiqua"/>
              </w:rPr>
              <w:t xml:space="preserve">7.    W. </w:t>
            </w:r>
            <w:proofErr w:type="spellStart"/>
            <w:r w:rsidRPr="00EC4B0A">
              <w:rPr>
                <w:rFonts w:ascii="Book Antiqua" w:hAnsi="Book Antiqua"/>
              </w:rPr>
              <w:t>Sierpinski</w:t>
            </w:r>
            <w:proofErr w:type="spellEnd"/>
            <w:r w:rsidRPr="00EC4B0A">
              <w:rPr>
                <w:rFonts w:ascii="Book Antiqua" w:hAnsi="Book Antiqua"/>
              </w:rPr>
              <w:t>, </w:t>
            </w:r>
            <w:r w:rsidRPr="00EC4B0A">
              <w:rPr>
                <w:rStyle w:val="Emphasis"/>
                <w:rFonts w:ascii="Book Antiqua" w:hAnsi="Book Antiqua"/>
              </w:rPr>
              <w:t>Elementary Theory of Numbers</w:t>
            </w:r>
            <w:r w:rsidRPr="00EC4B0A">
              <w:rPr>
                <w:rFonts w:ascii="Book Antiqua" w:hAnsi="Book Antiqua"/>
              </w:rPr>
              <w:t xml:space="preserve">, PNW, </w:t>
            </w:r>
            <w:proofErr w:type="spellStart"/>
            <w:r w:rsidRPr="00EC4B0A">
              <w:rPr>
                <w:rFonts w:ascii="Book Antiqua" w:hAnsi="Book Antiqua"/>
              </w:rPr>
              <w:t>Varšava</w:t>
            </w:r>
            <w:proofErr w:type="spellEnd"/>
            <w:r w:rsidRPr="00EC4B0A">
              <w:rPr>
                <w:rFonts w:ascii="Book Antiqua" w:hAnsi="Book Antiqua"/>
              </w:rPr>
              <w:t>; North Holland, Amsterdam, 1987.</w:t>
            </w:r>
          </w:p>
          <w:p w:rsidR="004C1E99" w:rsidRPr="00EC4B0A" w:rsidRDefault="004C1E99" w:rsidP="004C1E99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rFonts w:ascii="Book Antiqua" w:hAnsi="Book Antiqua"/>
              </w:rPr>
            </w:pPr>
            <w:r w:rsidRPr="00EC4B0A">
              <w:rPr>
                <w:rFonts w:ascii="Book Antiqua" w:hAnsi="Book Antiqua"/>
              </w:rPr>
              <w:t xml:space="preserve">8.    I. M. </w:t>
            </w:r>
            <w:proofErr w:type="spellStart"/>
            <w:r w:rsidRPr="00EC4B0A">
              <w:rPr>
                <w:rFonts w:ascii="Book Antiqua" w:hAnsi="Book Antiqua"/>
              </w:rPr>
              <w:t>Vinogradov</w:t>
            </w:r>
            <w:proofErr w:type="spellEnd"/>
            <w:r w:rsidRPr="00EC4B0A">
              <w:rPr>
                <w:rFonts w:ascii="Book Antiqua" w:hAnsi="Book Antiqua"/>
              </w:rPr>
              <w:t>, </w:t>
            </w:r>
            <w:r w:rsidRPr="00EC4B0A">
              <w:rPr>
                <w:rStyle w:val="Emphasis"/>
                <w:rFonts w:ascii="Book Antiqua" w:hAnsi="Book Antiqua"/>
              </w:rPr>
              <w:t>Elements of Number Theory</w:t>
            </w:r>
            <w:r w:rsidRPr="00EC4B0A">
              <w:rPr>
                <w:rFonts w:ascii="Book Antiqua" w:hAnsi="Book Antiqua"/>
              </w:rPr>
              <w:t>, Dover, 1954.</w:t>
            </w:r>
          </w:p>
          <w:p w:rsidR="004C1E99" w:rsidRPr="00AB7527" w:rsidRDefault="004C1E99" w:rsidP="004C1E99">
            <w:pPr>
              <w:pStyle w:val="NormalWeb"/>
              <w:shd w:val="clear" w:color="auto" w:fill="FDFDFD"/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5947"/>
      </w:tblGrid>
      <w:tr w:rsidR="00D67209" w:rsidRPr="00CF380D" w:rsidTr="003055E1">
        <w:tc>
          <w:tcPr>
            <w:tcW w:w="8630" w:type="dxa"/>
            <w:gridSpan w:val="2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Plani i diz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a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jnuar i mësimit:  </w:t>
            </w:r>
          </w:p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D67209" w:rsidRPr="00CF380D" w:rsidTr="003055E1">
        <w:tc>
          <w:tcPr>
            <w:tcW w:w="2683" w:type="dxa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5947" w:type="dxa"/>
            <w:shd w:val="clear" w:color="auto" w:fill="B8CCE4"/>
          </w:tcPr>
          <w:p w:rsidR="00D67209" w:rsidRPr="00CF380D" w:rsidRDefault="00117F15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Ligjë</w:t>
            </w:r>
            <w:r w:rsidR="00D67209" w:rsidRPr="00CF380D">
              <w:rPr>
                <w:rFonts w:ascii="Calibri" w:hAnsi="Calibri" w:cs="Calibri"/>
                <w:b/>
                <w:lang w:val="sq-AL"/>
              </w:rPr>
              <w:t>rata që do të zhvillohet</w:t>
            </w:r>
          </w:p>
        </w:tc>
      </w:tr>
      <w:tr w:rsidR="000D740C" w:rsidRPr="00CF380D" w:rsidTr="003055E1">
        <w:tc>
          <w:tcPr>
            <w:tcW w:w="2683" w:type="dxa"/>
          </w:tcPr>
          <w:p w:rsidR="000D740C" w:rsidRPr="00CF380D" w:rsidRDefault="000D740C" w:rsidP="000D740C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parë:</w:t>
            </w:r>
          </w:p>
        </w:tc>
        <w:tc>
          <w:tcPr>
            <w:tcW w:w="5947" w:type="dxa"/>
          </w:tcPr>
          <w:p w:rsidR="000D740C" w:rsidRPr="00834D57" w:rsidRDefault="004C1E99" w:rsidP="004C1E99">
            <w:pPr>
              <w:pStyle w:val="HTMLPreformatted"/>
              <w:rPr>
                <w:rFonts w:ascii="Arial" w:hAnsi="Arial" w:cs="Arial"/>
                <w:sz w:val="21"/>
                <w:szCs w:val="21"/>
                <w:lang w:val="sq-AL"/>
              </w:rPr>
            </w:pPr>
            <w:r w:rsidRPr="00834D57">
              <w:rPr>
                <w:rFonts w:ascii="Arial" w:hAnsi="Arial" w:cs="Arial"/>
                <w:sz w:val="21"/>
                <w:szCs w:val="21"/>
                <w:lang w:val="sq-AL"/>
              </w:rPr>
              <w:t>Plotpjesëtueshmëria</w:t>
            </w:r>
          </w:p>
        </w:tc>
      </w:tr>
      <w:tr w:rsidR="004C1E99" w:rsidRPr="00B114F6" w:rsidTr="003055E1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dytë:</w:t>
            </w:r>
          </w:p>
        </w:tc>
        <w:tc>
          <w:tcPr>
            <w:tcW w:w="5947" w:type="dxa"/>
          </w:tcPr>
          <w:p w:rsidR="004C1E99" w:rsidRDefault="004C1E99" w:rsidP="004C1E99">
            <w:proofErr w:type="spellStart"/>
            <w:r>
              <w:rPr>
                <w:rFonts w:ascii="Arial" w:eastAsia="Arial" w:hAnsi="Arial"/>
                <w:sz w:val="21"/>
              </w:rPr>
              <w:t>Algoritmi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pjesëtueshmërisë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1"/>
              </w:rPr>
              <w:t>Numrat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sz w:val="21"/>
              </w:rPr>
              <w:t>thjeshtë</w:t>
            </w:r>
            <w:proofErr w:type="spellEnd"/>
          </w:p>
        </w:tc>
      </w:tr>
      <w:tr w:rsidR="004C1E99" w:rsidRPr="007E250F" w:rsidTr="003055E1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4C1E99" w:rsidRDefault="004C1E99" w:rsidP="004C1E99">
            <w:proofErr w:type="spellStart"/>
            <w:r w:rsidRPr="006D58B0">
              <w:rPr>
                <w:rFonts w:ascii="Arial" w:eastAsia="Arial" w:hAnsi="Arial"/>
                <w:sz w:val="21"/>
              </w:rPr>
              <w:t>Pjesëtuesi</w:t>
            </w:r>
            <w:proofErr w:type="spellEnd"/>
            <w:r w:rsidRPr="006D58B0"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 w:rsidRPr="006D58B0">
              <w:rPr>
                <w:rFonts w:ascii="Arial" w:eastAsia="Arial" w:hAnsi="Arial"/>
                <w:sz w:val="21"/>
              </w:rPr>
              <w:t>më</w:t>
            </w:r>
            <w:proofErr w:type="spellEnd"/>
            <w:r w:rsidRPr="006D58B0"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 w:rsidRPr="006D58B0">
              <w:rPr>
                <w:rFonts w:ascii="Arial" w:eastAsia="Arial" w:hAnsi="Arial"/>
                <w:sz w:val="21"/>
              </w:rPr>
              <w:t>i</w:t>
            </w:r>
            <w:proofErr w:type="spellEnd"/>
            <w:r w:rsidRPr="006D58B0"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 w:rsidRPr="006D58B0">
              <w:rPr>
                <w:rFonts w:ascii="Arial" w:eastAsia="Arial" w:hAnsi="Arial"/>
                <w:sz w:val="21"/>
              </w:rPr>
              <w:t>madh</w:t>
            </w:r>
            <w:proofErr w:type="spellEnd"/>
            <w:r w:rsidRPr="006D58B0"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 w:rsidRPr="006D58B0">
              <w:rPr>
                <w:rFonts w:ascii="Arial" w:eastAsia="Arial" w:hAnsi="Arial"/>
                <w:sz w:val="21"/>
              </w:rPr>
              <w:t>i</w:t>
            </w:r>
            <w:proofErr w:type="spellEnd"/>
            <w:r w:rsidRPr="006D58B0"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 w:rsidRPr="006D58B0">
              <w:rPr>
                <w:rFonts w:ascii="Arial" w:eastAsia="Arial" w:hAnsi="Arial"/>
                <w:sz w:val="21"/>
              </w:rPr>
              <w:t>përbashkët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1"/>
              </w:rPr>
              <w:t>Shumëfishi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më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vogël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përbashkët</w:t>
            </w:r>
            <w:proofErr w:type="spellEnd"/>
            <w:r>
              <w:rPr>
                <w:rFonts w:ascii="Arial" w:eastAsia="Arial" w:hAnsi="Arial"/>
                <w:sz w:val="21"/>
              </w:rPr>
              <w:t>.</w:t>
            </w:r>
          </w:p>
        </w:tc>
      </w:tr>
      <w:tr w:rsidR="004C1E99" w:rsidRPr="00B114F6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katërt:</w:t>
            </w:r>
          </w:p>
        </w:tc>
        <w:tc>
          <w:tcPr>
            <w:tcW w:w="5947" w:type="dxa"/>
            <w:vAlign w:val="bottom"/>
          </w:tcPr>
          <w:p w:rsidR="004C1E99" w:rsidRPr="00834D57" w:rsidRDefault="004C1E99" w:rsidP="00834D5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Teorema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Fundamentale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në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Aritmetikë</w:t>
            </w:r>
            <w:proofErr w:type="spellEnd"/>
          </w:p>
        </w:tc>
      </w:tr>
      <w:tr w:rsidR="004C1E99" w:rsidRPr="0042524A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  <w:vAlign w:val="bottom"/>
          </w:tcPr>
          <w:p w:rsidR="004C1E99" w:rsidRDefault="004C1E99" w:rsidP="004C1E9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Metoda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faktorizimit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dhe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numrat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Fermas</w:t>
            </w:r>
            <w:proofErr w:type="spellEnd"/>
          </w:p>
          <w:p w:rsidR="004C1E99" w:rsidRDefault="004C1E99" w:rsidP="004C1E99">
            <w:pPr>
              <w:spacing w:line="20" w:lineRule="exact"/>
              <w:rPr>
                <w:sz w:val="1"/>
              </w:rPr>
            </w:pPr>
          </w:p>
        </w:tc>
      </w:tr>
      <w:tr w:rsidR="004C1E99" w:rsidRPr="00E107D9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gjashtë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  <w:vAlign w:val="bottom"/>
          </w:tcPr>
          <w:p w:rsidR="004C1E99" w:rsidRDefault="004C1E99" w:rsidP="004C1E99">
            <w:pPr>
              <w:spacing w:line="228" w:lineRule="exact"/>
              <w:rPr>
                <w:rFonts w:ascii="Arial" w:eastAsia="Arial" w:hAnsi="Arial"/>
                <w:sz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Ekuacionel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lineare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të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Diofantit</w:t>
            </w:r>
            <w:proofErr w:type="spellEnd"/>
          </w:p>
        </w:tc>
      </w:tr>
      <w:tr w:rsidR="004C1E99" w:rsidRPr="00E107D9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 xml:space="preserve">Java e </w:t>
            </w:r>
            <w:r>
              <w:rPr>
                <w:rFonts w:ascii="Calibri" w:hAnsi="Calibri" w:cs="Calibri"/>
                <w:b/>
                <w:i/>
                <w:lang w:val="sq-AL"/>
              </w:rPr>
              <w:t>shtat</w:t>
            </w:r>
            <w:r w:rsidRPr="00CF380D">
              <w:rPr>
                <w:rFonts w:ascii="Calibri" w:hAnsi="Calibri" w:cs="Calibri"/>
                <w:b/>
                <w:i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  <w:vAlign w:val="bottom"/>
          </w:tcPr>
          <w:p w:rsidR="004C1E99" w:rsidRPr="004C1E99" w:rsidRDefault="004C1E99" w:rsidP="004C1E9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Kongruencat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lineare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Sistemet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kongruencave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lineare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Teorema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kineze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mbetjeve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Testimi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="00834D5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834D57">
              <w:rPr>
                <w:rFonts w:ascii="Arial" w:hAnsi="Arial" w:cs="Arial"/>
                <w:sz w:val="21"/>
                <w:szCs w:val="21"/>
              </w:rPr>
              <w:t>plotpjestueshmërisë</w:t>
            </w:r>
            <w:proofErr w:type="spellEnd"/>
          </w:p>
        </w:tc>
      </w:tr>
      <w:tr w:rsidR="004C1E99" w:rsidRPr="00E107D9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tetë: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  <w:vAlign w:val="bottom"/>
          </w:tcPr>
          <w:p w:rsidR="00834D57" w:rsidRDefault="00834D57" w:rsidP="00834D5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Teorema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Uilsonit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dhe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Teorema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vogël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Fermas</w:t>
            </w:r>
            <w:proofErr w:type="spellEnd"/>
          </w:p>
          <w:p w:rsidR="004C1E99" w:rsidRDefault="004C1E99" w:rsidP="00834D57">
            <w:pPr>
              <w:autoSpaceDE w:val="0"/>
              <w:autoSpaceDN w:val="0"/>
              <w:adjustRightInd w:val="0"/>
              <w:rPr>
                <w:sz w:val="1"/>
              </w:rPr>
            </w:pPr>
          </w:p>
        </w:tc>
      </w:tr>
      <w:tr w:rsidR="004C1E99" w:rsidRPr="00CF380D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nëntë: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  <w:vAlign w:val="bottom"/>
          </w:tcPr>
          <w:p w:rsidR="004C1E99" w:rsidRDefault="00834D57" w:rsidP="00834D57">
            <w:pPr>
              <w:spacing w:line="226" w:lineRule="exact"/>
              <w:rPr>
                <w:rFonts w:ascii="Arial" w:eastAsia="Arial" w:hAnsi="Arial"/>
                <w:sz w:val="21"/>
              </w:rPr>
            </w:pPr>
            <w:proofErr w:type="spellStart"/>
            <w:r>
              <w:rPr>
                <w:rFonts w:ascii="Arial" w:eastAsia="Arial" w:hAnsi="Arial"/>
                <w:sz w:val="21"/>
              </w:rPr>
              <w:t>Funksonet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aritmetike</w:t>
            </w:r>
            <w:proofErr w:type="spellEnd"/>
          </w:p>
        </w:tc>
      </w:tr>
      <w:tr w:rsidR="004C1E99" w:rsidRPr="00A83ED7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dhjetë:</w:t>
            </w:r>
          </w:p>
        </w:tc>
        <w:tc>
          <w:tcPr>
            <w:tcW w:w="5947" w:type="dxa"/>
            <w:vAlign w:val="bottom"/>
          </w:tcPr>
          <w:p w:rsidR="00834D57" w:rsidRDefault="00834D57" w:rsidP="00834D5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Funksioni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Ojlerit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Vetitë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funksionit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të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Ojlerit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4C1E99" w:rsidRDefault="004C1E99" w:rsidP="00834D57">
            <w:pPr>
              <w:autoSpaceDE w:val="0"/>
              <w:autoSpaceDN w:val="0"/>
              <w:adjustRightInd w:val="0"/>
              <w:rPr>
                <w:sz w:val="1"/>
              </w:rPr>
            </w:pPr>
          </w:p>
        </w:tc>
      </w:tr>
      <w:tr w:rsidR="004C1E99" w:rsidRPr="003055E1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lastRenderedPageBreak/>
              <w:t>Java e njëmbëdhjetë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  <w:vAlign w:val="bottom"/>
          </w:tcPr>
          <w:p w:rsidR="004C1E99" w:rsidRDefault="00834D57" w:rsidP="00834D57">
            <w:pPr>
              <w:spacing w:line="226" w:lineRule="exact"/>
              <w:ind w:left="80"/>
              <w:rPr>
                <w:rFonts w:ascii="Arial" w:eastAsia="Arial" w:hAnsi="Arial"/>
                <w:sz w:val="21"/>
              </w:rPr>
            </w:pPr>
            <w:proofErr w:type="spellStart"/>
            <w:r>
              <w:rPr>
                <w:rFonts w:ascii="Arial" w:eastAsia="Arial" w:hAnsi="Arial"/>
                <w:sz w:val="21"/>
              </w:rPr>
              <w:t>Rrënjët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primitive </w:t>
            </w:r>
            <w:proofErr w:type="spellStart"/>
            <w:r>
              <w:rPr>
                <w:rFonts w:ascii="Arial" w:eastAsia="Arial" w:hAnsi="Arial"/>
                <w:sz w:val="21"/>
              </w:rPr>
              <w:t>dhe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rendi</w:t>
            </w:r>
            <w:proofErr w:type="spellEnd"/>
          </w:p>
        </w:tc>
      </w:tr>
      <w:tr w:rsidR="00834D57" w:rsidRPr="003055E1" w:rsidTr="002E4133">
        <w:tc>
          <w:tcPr>
            <w:tcW w:w="2683" w:type="dxa"/>
          </w:tcPr>
          <w:p w:rsidR="00834D57" w:rsidRPr="00CF380D" w:rsidRDefault="00834D57" w:rsidP="00834D57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 xml:space="preserve">Java e </w:t>
            </w:r>
            <w:r>
              <w:rPr>
                <w:rFonts w:ascii="Calibri" w:hAnsi="Calibri" w:cs="Calibri"/>
                <w:b/>
                <w:i/>
                <w:lang w:val="sq-AL"/>
              </w:rPr>
              <w:t>dy</w:t>
            </w:r>
            <w:r w:rsidRPr="00CF380D">
              <w:rPr>
                <w:rFonts w:ascii="Calibri" w:hAnsi="Calibri" w:cs="Calibri"/>
                <w:b/>
                <w:i/>
                <w:lang w:val="sq-AL"/>
              </w:rPr>
              <w:t>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  <w:vAlign w:val="bottom"/>
          </w:tcPr>
          <w:p w:rsidR="00834D57" w:rsidRDefault="00834D57" w:rsidP="00834D57">
            <w:pPr>
              <w:spacing w:line="226" w:lineRule="exact"/>
              <w:ind w:left="80"/>
              <w:rPr>
                <w:rFonts w:ascii="Arial" w:eastAsia="Arial" w:hAnsi="Arial"/>
                <w:sz w:val="21"/>
              </w:rPr>
            </w:pPr>
            <w:proofErr w:type="spellStart"/>
            <w:r>
              <w:rPr>
                <w:rFonts w:ascii="Arial" w:eastAsia="Arial" w:hAnsi="Arial"/>
                <w:sz w:val="21"/>
              </w:rPr>
              <w:t>Ligji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reciprocietit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kuadratik</w:t>
            </w:r>
            <w:proofErr w:type="spellEnd"/>
          </w:p>
        </w:tc>
      </w:tr>
      <w:tr w:rsidR="004C1E99" w:rsidRPr="00E643B3" w:rsidTr="002E4133">
        <w:tc>
          <w:tcPr>
            <w:tcW w:w="2683" w:type="dxa"/>
          </w:tcPr>
          <w:p w:rsidR="004C1E99" w:rsidRPr="00CF380D" w:rsidRDefault="004C1E99" w:rsidP="004C1E99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 </w:t>
            </w:r>
          </w:p>
        </w:tc>
        <w:tc>
          <w:tcPr>
            <w:tcW w:w="5947" w:type="dxa"/>
            <w:vAlign w:val="bottom"/>
          </w:tcPr>
          <w:p w:rsidR="004C1E99" w:rsidRDefault="00834D57" w:rsidP="004C1E99">
            <w:pPr>
              <w:spacing w:line="228" w:lineRule="exact"/>
              <w:ind w:left="80"/>
              <w:rPr>
                <w:rFonts w:ascii="Arial" w:eastAsia="Arial" w:hAnsi="Arial"/>
                <w:sz w:val="21"/>
              </w:rPr>
            </w:pPr>
            <w:proofErr w:type="spellStart"/>
            <w:r>
              <w:rPr>
                <w:rFonts w:ascii="Arial" w:eastAsia="Arial" w:hAnsi="Arial"/>
                <w:sz w:val="21"/>
              </w:rPr>
              <w:t>Simboli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i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Lezhandrit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fhe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vetitë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sz w:val="21"/>
              </w:rPr>
              <w:t>tij</w:t>
            </w:r>
            <w:proofErr w:type="spellEnd"/>
          </w:p>
        </w:tc>
      </w:tr>
      <w:tr w:rsidR="004C1E99" w:rsidRPr="00A83ED7" w:rsidTr="002E4133">
        <w:tc>
          <w:tcPr>
            <w:tcW w:w="2683" w:type="dxa"/>
          </w:tcPr>
          <w:p w:rsidR="004C1E99" w:rsidRPr="00CF380D" w:rsidRDefault="004C1E99" w:rsidP="00834D57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 xml:space="preserve">Java e </w:t>
            </w:r>
            <w:r w:rsidR="00834D57">
              <w:rPr>
                <w:rFonts w:ascii="Calibri" w:hAnsi="Calibri" w:cs="Calibri"/>
                <w:b/>
                <w:i/>
                <w:lang w:val="sq-AL"/>
              </w:rPr>
              <w:t>katër</w:t>
            </w:r>
            <w:r w:rsidRPr="00CF380D">
              <w:rPr>
                <w:rFonts w:ascii="Calibri" w:hAnsi="Calibri" w:cs="Calibri"/>
                <w:b/>
                <w:i/>
                <w:lang w:val="sq-AL"/>
              </w:rPr>
              <w:t>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</w:t>
            </w:r>
          </w:p>
        </w:tc>
        <w:tc>
          <w:tcPr>
            <w:tcW w:w="5947" w:type="dxa"/>
            <w:vAlign w:val="bottom"/>
          </w:tcPr>
          <w:p w:rsidR="004C1E99" w:rsidRDefault="00834D57" w:rsidP="00834D57">
            <w:pPr>
              <w:spacing w:line="226" w:lineRule="exact"/>
              <w:ind w:left="80"/>
              <w:rPr>
                <w:rFonts w:ascii="Arial" w:eastAsia="Arial" w:hAnsi="Arial"/>
                <w:sz w:val="21"/>
              </w:rPr>
            </w:pPr>
            <w:proofErr w:type="spellStart"/>
            <w:r>
              <w:rPr>
                <w:rFonts w:ascii="Arial" w:eastAsia="Arial" w:hAnsi="Arial"/>
                <w:sz w:val="21"/>
              </w:rPr>
              <w:t>Numrat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sz w:val="21"/>
              </w:rPr>
              <w:t>përkryer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1"/>
              </w:rPr>
              <w:t>Numrat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Ferma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1"/>
              </w:rPr>
              <w:t>Numrat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sz w:val="21"/>
              </w:rPr>
              <w:t>thejeshtë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të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1"/>
              </w:rPr>
              <w:t>Mersenit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, </w:t>
            </w:r>
          </w:p>
        </w:tc>
      </w:tr>
      <w:tr w:rsidR="00834D57" w:rsidRPr="00A83ED7" w:rsidTr="002E4133">
        <w:tc>
          <w:tcPr>
            <w:tcW w:w="2683" w:type="dxa"/>
          </w:tcPr>
          <w:p w:rsidR="00834D57" w:rsidRPr="00CF380D" w:rsidRDefault="00834D57" w:rsidP="00834D57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</w:t>
            </w:r>
          </w:p>
        </w:tc>
        <w:tc>
          <w:tcPr>
            <w:tcW w:w="5947" w:type="dxa"/>
            <w:vAlign w:val="bottom"/>
          </w:tcPr>
          <w:p w:rsidR="00834D57" w:rsidRDefault="00834D57" w:rsidP="00834D57">
            <w:pPr>
              <w:spacing w:line="226" w:lineRule="exact"/>
              <w:ind w:left="80"/>
              <w:rPr>
                <w:rFonts w:ascii="Arial" w:eastAsia="Arial" w:hAnsi="Arial"/>
                <w:sz w:val="21"/>
              </w:rPr>
            </w:pPr>
            <w:proofErr w:type="spellStart"/>
            <w:r>
              <w:rPr>
                <w:rFonts w:ascii="Arial" w:eastAsia="Arial" w:hAnsi="Arial"/>
                <w:sz w:val="21"/>
              </w:rPr>
              <w:t>Thyesat</w:t>
            </w:r>
            <w:proofErr w:type="spellEnd"/>
            <w:r>
              <w:rPr>
                <w:rFonts w:ascii="Arial" w:eastAsia="Arial" w:hAnsi="Arial"/>
                <w:sz w:val="21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sz w:val="21"/>
              </w:rPr>
              <w:t>vazhdueshme</w:t>
            </w:r>
            <w:proofErr w:type="spellEnd"/>
          </w:p>
        </w:tc>
      </w:tr>
    </w:tbl>
    <w:p w:rsidR="00CF116F" w:rsidRPr="00CF380D" w:rsidRDefault="00CF116F" w:rsidP="00D67209">
      <w:pPr>
        <w:pStyle w:val="NoSpacing"/>
        <w:rPr>
          <w:rFonts w:ascii="Calibri" w:hAnsi="Calibri" w:cs="Calibri"/>
          <w:lang w:val="sq-AL"/>
        </w:rPr>
      </w:pPr>
    </w:p>
    <w:p w:rsidR="006F116D" w:rsidRPr="00CF380D" w:rsidRDefault="006F116D">
      <w:pPr>
        <w:rPr>
          <w:rFonts w:ascii="Calibri" w:hAnsi="Calibri" w:cs="Calibri"/>
          <w:b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F116F" w:rsidRPr="00CF380D" w:rsidTr="00EF57F9">
        <w:tc>
          <w:tcPr>
            <w:tcW w:w="8856" w:type="dxa"/>
            <w:shd w:val="clear" w:color="auto" w:fill="B8CCE4"/>
          </w:tcPr>
          <w:p w:rsidR="00CF116F" w:rsidRPr="00CF380D" w:rsidRDefault="00CF116F" w:rsidP="007E6202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F116F" w:rsidRPr="00C67A6F" w:rsidTr="007E6202">
        <w:trPr>
          <w:trHeight w:val="1088"/>
        </w:trPr>
        <w:tc>
          <w:tcPr>
            <w:tcW w:w="8856" w:type="dxa"/>
          </w:tcPr>
          <w:p w:rsidR="006F116D" w:rsidRPr="00CF380D" w:rsidRDefault="00A978D0" w:rsidP="00F3651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Studentët do të vijojnë mësimin me rregull dhe do t’i kontribuojnë atmosferës kolegjiale e profesionale, duke e respektuar Statutin e Universitetit të Prishtinës dhe rregullat e tjera të </w:t>
            </w:r>
            <w:r w:rsidR="00F3651B">
              <w:rPr>
                <w:rFonts w:ascii="Calibri" w:hAnsi="Calibri" w:cs="Calibri"/>
                <w:lang w:val="sq-AL"/>
              </w:rPr>
              <w:t>U</w:t>
            </w:r>
            <w:r w:rsidRPr="00CF380D">
              <w:rPr>
                <w:rFonts w:ascii="Calibri" w:hAnsi="Calibri" w:cs="Calibri"/>
                <w:lang w:val="sq-AL"/>
              </w:rPr>
              <w:t>niversitetit e Fakultetit. Në veçanti, studentët nuk do të kenë sjellje që përbëjnë plag</w:t>
            </w:r>
            <w:r w:rsidR="00451855">
              <w:rPr>
                <w:rFonts w:ascii="Calibri" w:hAnsi="Calibri" w:cs="Calibri"/>
                <w:lang w:val="sq-AL"/>
              </w:rPr>
              <w:t>j</w:t>
            </w:r>
            <w:r w:rsidR="00BC53C4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arizëm, bashkëpunim të palejueshëm, kopjim të testeve nga të tjerët ose lejim i të tjerëve për ta kopjuar testin,  </w:t>
            </w:r>
            <w:r w:rsidR="00C25A24" w:rsidRPr="00CF380D">
              <w:rPr>
                <w:rFonts w:ascii="Calibri" w:hAnsi="Calibri" w:cs="Calibri"/>
                <w:lang w:val="sq-AL"/>
              </w:rPr>
              <w:t xml:space="preserve">mashtrim ose </w:t>
            </w:r>
            <w:r w:rsidRPr="00CF380D">
              <w:rPr>
                <w:rFonts w:ascii="Calibri" w:hAnsi="Calibri" w:cs="Calibri"/>
                <w:lang w:val="sq-AL"/>
              </w:rPr>
              <w:t xml:space="preserve">përdorimin </w:t>
            </w:r>
            <w:r w:rsidR="00C25A24" w:rsidRPr="00CF380D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 çfarëdo mjeti për </w:t>
            </w:r>
            <w:r w:rsidR="00C25A24" w:rsidRPr="00CF380D">
              <w:rPr>
                <w:rFonts w:ascii="Calibri" w:hAnsi="Calibri" w:cs="Calibri"/>
                <w:lang w:val="sq-AL"/>
              </w:rPr>
              <w:t>mashtrim në test</w:t>
            </w:r>
            <w:r w:rsidR="00BC53C4">
              <w:rPr>
                <w:rFonts w:ascii="Calibri" w:hAnsi="Calibri" w:cs="Calibri"/>
                <w:lang w:val="sq-AL"/>
              </w:rPr>
              <w:t xml:space="preserve"> ose provim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  <w:r w:rsidR="00545964">
              <w:rPr>
                <w:rFonts w:ascii="Calibri" w:hAnsi="Calibri" w:cs="Calibri"/>
                <w:lang w:val="sq-AL"/>
              </w:rPr>
              <w:t xml:space="preserve"> Po ashtu përdorimi i celularëve, apo mjeteve tjera elektronike që e pengojnë procesin e mësimit, do të jetë i ndaluar.</w:t>
            </w:r>
            <w:r w:rsidR="009852C2">
              <w:rPr>
                <w:rFonts w:ascii="Calibri" w:hAnsi="Calibri" w:cs="Calibri"/>
                <w:lang w:val="sq-AL"/>
              </w:rPr>
              <w:t xml:space="preserve"> Vijueshmëria e rregullt është obligative.</w:t>
            </w:r>
          </w:p>
        </w:tc>
      </w:tr>
    </w:tbl>
    <w:p w:rsidR="00B815D1" w:rsidRPr="00CF380D" w:rsidRDefault="00B815D1">
      <w:pPr>
        <w:rPr>
          <w:rFonts w:ascii="Calibri" w:hAnsi="Calibri" w:cs="Calibri"/>
          <w:b/>
          <w:lang w:val="sq-AL"/>
        </w:rPr>
      </w:pPr>
    </w:p>
    <w:sectPr w:rsidR="00B815D1" w:rsidRPr="00CF380D" w:rsidSect="00DD002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0A" w:rsidRDefault="00576D0A">
      <w:r>
        <w:separator/>
      </w:r>
    </w:p>
  </w:endnote>
  <w:endnote w:type="continuationSeparator" w:id="0">
    <w:p w:rsidR="00576D0A" w:rsidRDefault="0057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69" w:rsidRDefault="003F00EE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69" w:rsidRDefault="003F00EE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578C">
      <w:rPr>
        <w:rStyle w:val="PageNumber"/>
        <w:noProof/>
      </w:rPr>
      <w:t>2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0A" w:rsidRDefault="00576D0A">
      <w:r>
        <w:separator/>
      </w:r>
    </w:p>
  </w:footnote>
  <w:footnote w:type="continuationSeparator" w:id="0">
    <w:p w:rsidR="00576D0A" w:rsidRDefault="0057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5FD7"/>
    <w:multiLevelType w:val="hybridMultilevel"/>
    <w:tmpl w:val="1B32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91C"/>
    <w:multiLevelType w:val="multilevel"/>
    <w:tmpl w:val="3BF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E4E47"/>
    <w:multiLevelType w:val="hybridMultilevel"/>
    <w:tmpl w:val="8F10C404"/>
    <w:lvl w:ilvl="0" w:tplc="43D48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C4088A"/>
    <w:multiLevelType w:val="hybridMultilevel"/>
    <w:tmpl w:val="561024F8"/>
    <w:lvl w:ilvl="0" w:tplc="9E6C2F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52B7E"/>
    <w:multiLevelType w:val="hybridMultilevel"/>
    <w:tmpl w:val="9DF2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7EB8"/>
    <w:multiLevelType w:val="hybridMultilevel"/>
    <w:tmpl w:val="42E0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46B0"/>
    <w:multiLevelType w:val="hybridMultilevel"/>
    <w:tmpl w:val="FF2C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6C31"/>
    <w:multiLevelType w:val="hybridMultilevel"/>
    <w:tmpl w:val="C1043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594F"/>
    <w:multiLevelType w:val="hybridMultilevel"/>
    <w:tmpl w:val="0A7A5FDE"/>
    <w:lvl w:ilvl="0" w:tplc="A6D02A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7E06"/>
    <w:multiLevelType w:val="hybridMultilevel"/>
    <w:tmpl w:val="6C4A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D2B5D"/>
    <w:multiLevelType w:val="hybridMultilevel"/>
    <w:tmpl w:val="3490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E795A"/>
    <w:multiLevelType w:val="hybridMultilevel"/>
    <w:tmpl w:val="A160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B3E84"/>
    <w:multiLevelType w:val="hybridMultilevel"/>
    <w:tmpl w:val="2FFE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E5CF0"/>
    <w:multiLevelType w:val="hybridMultilevel"/>
    <w:tmpl w:val="6BEC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A7728"/>
    <w:multiLevelType w:val="hybridMultilevel"/>
    <w:tmpl w:val="3BE40D42"/>
    <w:lvl w:ilvl="0" w:tplc="E1DA15D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0ADD"/>
    <w:rsid w:val="00003107"/>
    <w:rsid w:val="00004B39"/>
    <w:rsid w:val="00006657"/>
    <w:rsid w:val="00012981"/>
    <w:rsid w:val="000252F5"/>
    <w:rsid w:val="00031020"/>
    <w:rsid w:val="00043592"/>
    <w:rsid w:val="00060E9F"/>
    <w:rsid w:val="000670E4"/>
    <w:rsid w:val="0007644C"/>
    <w:rsid w:val="000826BC"/>
    <w:rsid w:val="0009530F"/>
    <w:rsid w:val="000A0AF4"/>
    <w:rsid w:val="000B1CAF"/>
    <w:rsid w:val="000D740C"/>
    <w:rsid w:val="000F3C0F"/>
    <w:rsid w:val="000F7F01"/>
    <w:rsid w:val="00102557"/>
    <w:rsid w:val="00105C2D"/>
    <w:rsid w:val="001069C4"/>
    <w:rsid w:val="00117F15"/>
    <w:rsid w:val="00122042"/>
    <w:rsid w:val="00132604"/>
    <w:rsid w:val="00143C8B"/>
    <w:rsid w:val="001566DF"/>
    <w:rsid w:val="00183923"/>
    <w:rsid w:val="001A161C"/>
    <w:rsid w:val="001B3032"/>
    <w:rsid w:val="001C32D8"/>
    <w:rsid w:val="001C62B9"/>
    <w:rsid w:val="001E43F7"/>
    <w:rsid w:val="00200656"/>
    <w:rsid w:val="0021580C"/>
    <w:rsid w:val="002177ED"/>
    <w:rsid w:val="00233C8E"/>
    <w:rsid w:val="00237759"/>
    <w:rsid w:val="002466FE"/>
    <w:rsid w:val="0025771E"/>
    <w:rsid w:val="002610A3"/>
    <w:rsid w:val="00271EE0"/>
    <w:rsid w:val="00276ED2"/>
    <w:rsid w:val="00280772"/>
    <w:rsid w:val="002A3186"/>
    <w:rsid w:val="002B2FA3"/>
    <w:rsid w:val="002C00FA"/>
    <w:rsid w:val="002C7B4D"/>
    <w:rsid w:val="002D23CD"/>
    <w:rsid w:val="002D3069"/>
    <w:rsid w:val="002D5317"/>
    <w:rsid w:val="002D57C7"/>
    <w:rsid w:val="002F4EA2"/>
    <w:rsid w:val="0030354C"/>
    <w:rsid w:val="003055E1"/>
    <w:rsid w:val="00331235"/>
    <w:rsid w:val="0033237F"/>
    <w:rsid w:val="0034463B"/>
    <w:rsid w:val="00350493"/>
    <w:rsid w:val="0035773D"/>
    <w:rsid w:val="00381B41"/>
    <w:rsid w:val="00386AF0"/>
    <w:rsid w:val="003A0760"/>
    <w:rsid w:val="003A61AE"/>
    <w:rsid w:val="003A7D30"/>
    <w:rsid w:val="003B625C"/>
    <w:rsid w:val="003C6CCC"/>
    <w:rsid w:val="003D00AD"/>
    <w:rsid w:val="003D4EE7"/>
    <w:rsid w:val="003E13BF"/>
    <w:rsid w:val="003E3193"/>
    <w:rsid w:val="003F00EE"/>
    <w:rsid w:val="0040410F"/>
    <w:rsid w:val="0041494C"/>
    <w:rsid w:val="00416789"/>
    <w:rsid w:val="0042524A"/>
    <w:rsid w:val="00447290"/>
    <w:rsid w:val="00451855"/>
    <w:rsid w:val="00452AF4"/>
    <w:rsid w:val="004642BF"/>
    <w:rsid w:val="00473849"/>
    <w:rsid w:val="00485290"/>
    <w:rsid w:val="00493640"/>
    <w:rsid w:val="004C00D4"/>
    <w:rsid w:val="004C0CCA"/>
    <w:rsid w:val="004C1E99"/>
    <w:rsid w:val="004D1F1C"/>
    <w:rsid w:val="004E6CC6"/>
    <w:rsid w:val="004F4728"/>
    <w:rsid w:val="004F5806"/>
    <w:rsid w:val="0052737C"/>
    <w:rsid w:val="00545964"/>
    <w:rsid w:val="005617B2"/>
    <w:rsid w:val="00576D0A"/>
    <w:rsid w:val="0058277A"/>
    <w:rsid w:val="005A6D9D"/>
    <w:rsid w:val="005B578C"/>
    <w:rsid w:val="005B7E71"/>
    <w:rsid w:val="005D1CD6"/>
    <w:rsid w:val="005F3B81"/>
    <w:rsid w:val="00600251"/>
    <w:rsid w:val="00603DD2"/>
    <w:rsid w:val="00611369"/>
    <w:rsid w:val="006276AA"/>
    <w:rsid w:val="00632157"/>
    <w:rsid w:val="00634F80"/>
    <w:rsid w:val="00641C46"/>
    <w:rsid w:val="00644BF4"/>
    <w:rsid w:val="00664B0C"/>
    <w:rsid w:val="00665A10"/>
    <w:rsid w:val="00685A47"/>
    <w:rsid w:val="006862C3"/>
    <w:rsid w:val="00696F96"/>
    <w:rsid w:val="006972EA"/>
    <w:rsid w:val="006A0738"/>
    <w:rsid w:val="006B736B"/>
    <w:rsid w:val="006D7FB4"/>
    <w:rsid w:val="006E279F"/>
    <w:rsid w:val="006F116D"/>
    <w:rsid w:val="006F38D6"/>
    <w:rsid w:val="006F4984"/>
    <w:rsid w:val="007038CC"/>
    <w:rsid w:val="00704116"/>
    <w:rsid w:val="00706A57"/>
    <w:rsid w:val="00710858"/>
    <w:rsid w:val="0071197A"/>
    <w:rsid w:val="007175E9"/>
    <w:rsid w:val="007200D4"/>
    <w:rsid w:val="00721A6A"/>
    <w:rsid w:val="0073123E"/>
    <w:rsid w:val="0073641D"/>
    <w:rsid w:val="00746D8D"/>
    <w:rsid w:val="0075179C"/>
    <w:rsid w:val="00777D28"/>
    <w:rsid w:val="00781805"/>
    <w:rsid w:val="007838B5"/>
    <w:rsid w:val="00796F84"/>
    <w:rsid w:val="007B1510"/>
    <w:rsid w:val="007B68A2"/>
    <w:rsid w:val="007C0311"/>
    <w:rsid w:val="007C3132"/>
    <w:rsid w:val="007C774F"/>
    <w:rsid w:val="007D26BD"/>
    <w:rsid w:val="007E072B"/>
    <w:rsid w:val="007E250F"/>
    <w:rsid w:val="007E4174"/>
    <w:rsid w:val="007E6202"/>
    <w:rsid w:val="007F46C5"/>
    <w:rsid w:val="00830751"/>
    <w:rsid w:val="00830FD8"/>
    <w:rsid w:val="00834D57"/>
    <w:rsid w:val="00834F02"/>
    <w:rsid w:val="00842112"/>
    <w:rsid w:val="00895C32"/>
    <w:rsid w:val="008A439B"/>
    <w:rsid w:val="008A61C9"/>
    <w:rsid w:val="008A716D"/>
    <w:rsid w:val="008D0608"/>
    <w:rsid w:val="008E5634"/>
    <w:rsid w:val="00903474"/>
    <w:rsid w:val="00914562"/>
    <w:rsid w:val="0094561B"/>
    <w:rsid w:val="00947188"/>
    <w:rsid w:val="00953D47"/>
    <w:rsid w:val="00975F5D"/>
    <w:rsid w:val="00984660"/>
    <w:rsid w:val="00984A12"/>
    <w:rsid w:val="009851C6"/>
    <w:rsid w:val="009852C2"/>
    <w:rsid w:val="00986525"/>
    <w:rsid w:val="009B3017"/>
    <w:rsid w:val="009B3F0A"/>
    <w:rsid w:val="009B480E"/>
    <w:rsid w:val="009C3175"/>
    <w:rsid w:val="009E2AF8"/>
    <w:rsid w:val="009E5B7F"/>
    <w:rsid w:val="00A035EC"/>
    <w:rsid w:val="00A06034"/>
    <w:rsid w:val="00A319F3"/>
    <w:rsid w:val="00A545BA"/>
    <w:rsid w:val="00A662A0"/>
    <w:rsid w:val="00A83ED7"/>
    <w:rsid w:val="00A923D4"/>
    <w:rsid w:val="00A9526F"/>
    <w:rsid w:val="00A97449"/>
    <w:rsid w:val="00A978D0"/>
    <w:rsid w:val="00AA2C57"/>
    <w:rsid w:val="00AA3C2B"/>
    <w:rsid w:val="00AA5031"/>
    <w:rsid w:val="00AC08ED"/>
    <w:rsid w:val="00B0248A"/>
    <w:rsid w:val="00B06A67"/>
    <w:rsid w:val="00B114F6"/>
    <w:rsid w:val="00B14806"/>
    <w:rsid w:val="00B20265"/>
    <w:rsid w:val="00B2771D"/>
    <w:rsid w:val="00B35215"/>
    <w:rsid w:val="00B5685F"/>
    <w:rsid w:val="00B815D1"/>
    <w:rsid w:val="00B84CDB"/>
    <w:rsid w:val="00BA6E9C"/>
    <w:rsid w:val="00BB1A1A"/>
    <w:rsid w:val="00BB6C25"/>
    <w:rsid w:val="00BC53C4"/>
    <w:rsid w:val="00BD0800"/>
    <w:rsid w:val="00C2076F"/>
    <w:rsid w:val="00C25A24"/>
    <w:rsid w:val="00C30CA7"/>
    <w:rsid w:val="00C445AF"/>
    <w:rsid w:val="00C464D3"/>
    <w:rsid w:val="00C60548"/>
    <w:rsid w:val="00C6155B"/>
    <w:rsid w:val="00C629BD"/>
    <w:rsid w:val="00C67A6F"/>
    <w:rsid w:val="00CA257E"/>
    <w:rsid w:val="00CE59B6"/>
    <w:rsid w:val="00CF116F"/>
    <w:rsid w:val="00CF380D"/>
    <w:rsid w:val="00CF49AE"/>
    <w:rsid w:val="00D00C24"/>
    <w:rsid w:val="00D10BC6"/>
    <w:rsid w:val="00D35AEC"/>
    <w:rsid w:val="00D462FC"/>
    <w:rsid w:val="00D66DA6"/>
    <w:rsid w:val="00D67209"/>
    <w:rsid w:val="00D71300"/>
    <w:rsid w:val="00D803C9"/>
    <w:rsid w:val="00D86ECF"/>
    <w:rsid w:val="00D951BA"/>
    <w:rsid w:val="00D956AB"/>
    <w:rsid w:val="00D96484"/>
    <w:rsid w:val="00DB2823"/>
    <w:rsid w:val="00DC6CC1"/>
    <w:rsid w:val="00DD002B"/>
    <w:rsid w:val="00DD6D69"/>
    <w:rsid w:val="00DE017D"/>
    <w:rsid w:val="00DE0C70"/>
    <w:rsid w:val="00DF6543"/>
    <w:rsid w:val="00DF70F1"/>
    <w:rsid w:val="00E01C95"/>
    <w:rsid w:val="00E101A1"/>
    <w:rsid w:val="00E10768"/>
    <w:rsid w:val="00E107D9"/>
    <w:rsid w:val="00E147A3"/>
    <w:rsid w:val="00E305D8"/>
    <w:rsid w:val="00E44791"/>
    <w:rsid w:val="00E640F6"/>
    <w:rsid w:val="00E643B3"/>
    <w:rsid w:val="00E64C61"/>
    <w:rsid w:val="00E64FDE"/>
    <w:rsid w:val="00E92D8B"/>
    <w:rsid w:val="00EB62A8"/>
    <w:rsid w:val="00EE040D"/>
    <w:rsid w:val="00EF57F9"/>
    <w:rsid w:val="00F04222"/>
    <w:rsid w:val="00F16125"/>
    <w:rsid w:val="00F246F9"/>
    <w:rsid w:val="00F30C03"/>
    <w:rsid w:val="00F34158"/>
    <w:rsid w:val="00F34A73"/>
    <w:rsid w:val="00F3651B"/>
    <w:rsid w:val="00F47480"/>
    <w:rsid w:val="00F508BA"/>
    <w:rsid w:val="00F5660C"/>
    <w:rsid w:val="00F66CFF"/>
    <w:rsid w:val="00F845D6"/>
    <w:rsid w:val="00F95BBA"/>
    <w:rsid w:val="00FB050B"/>
    <w:rsid w:val="00FC261A"/>
    <w:rsid w:val="00FC2A54"/>
    <w:rsid w:val="00FD4379"/>
    <w:rsid w:val="00FF2385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A3951"/>
  <w15:docId w15:val="{54F88580-49BE-4758-9037-A33CA3C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character" w:styleId="Hyperlink">
    <w:name w:val="Hyperlink"/>
    <w:basedOn w:val="DefaultParagraphFont"/>
    <w:rsid w:val="00117F1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40410F"/>
  </w:style>
  <w:style w:type="character" w:customStyle="1" w:styleId="apple-converted-space">
    <w:name w:val="apple-converted-space"/>
    <w:basedOn w:val="DefaultParagraphFont"/>
    <w:rsid w:val="0040410F"/>
  </w:style>
  <w:style w:type="character" w:styleId="PlaceholderText">
    <w:name w:val="Placeholder Text"/>
    <w:basedOn w:val="DefaultParagraphFont"/>
    <w:uiPriority w:val="99"/>
    <w:semiHidden/>
    <w:rsid w:val="00B0248A"/>
    <w:rPr>
      <w:color w:val="808080"/>
    </w:rPr>
  </w:style>
  <w:style w:type="paragraph" w:styleId="BalloonText">
    <w:name w:val="Balloon Text"/>
    <w:basedOn w:val="Normal"/>
    <w:link w:val="BalloonTextChar"/>
    <w:rsid w:val="00B0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017"/>
    <w:pPr>
      <w:ind w:left="720"/>
      <w:contextualSpacing/>
    </w:pPr>
  </w:style>
  <w:style w:type="character" w:customStyle="1" w:styleId="itemdetailtermvalue">
    <w:name w:val="itemdetail_termvalue"/>
    <w:basedOn w:val="DefaultParagraphFont"/>
    <w:rsid w:val="009E5B7F"/>
  </w:style>
  <w:style w:type="paragraph" w:styleId="NormalWeb">
    <w:name w:val="Normal (Web)"/>
    <w:basedOn w:val="Normal"/>
    <w:uiPriority w:val="99"/>
    <w:unhideWhenUsed/>
    <w:rsid w:val="000D740C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locked/>
    <w:rsid w:val="000D740C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7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40C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4C1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Tushi</cp:lastModifiedBy>
  <cp:revision>8</cp:revision>
  <cp:lastPrinted>2011-03-07T08:39:00Z</cp:lastPrinted>
  <dcterms:created xsi:type="dcterms:W3CDTF">2018-03-26T08:11:00Z</dcterms:created>
  <dcterms:modified xsi:type="dcterms:W3CDTF">2018-04-26T07:39:00Z</dcterms:modified>
</cp:coreProperties>
</file>