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D1" w:rsidRPr="00B90F44" w:rsidRDefault="004219D1" w:rsidP="004219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F44" w:rsidRPr="00B90F44" w:rsidRDefault="00B90F44" w:rsidP="00421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0F44" w:rsidRPr="00B90F44" w:rsidRDefault="00B90F44" w:rsidP="00421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9D1" w:rsidRPr="00B90F44" w:rsidRDefault="00B90F44" w:rsidP="004219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0F44">
        <w:rPr>
          <w:rFonts w:ascii="Times New Roman" w:hAnsi="Times New Roman" w:cs="Times New Roman"/>
          <w:b/>
          <w:sz w:val="24"/>
          <w:szCs w:val="24"/>
          <w:lang w:val="it-IT"/>
        </w:rPr>
        <w:t xml:space="preserve">Lënda: </w:t>
      </w:r>
      <w:proofErr w:type="spellStart"/>
      <w:r w:rsidR="004219D1" w:rsidRPr="00B90F44">
        <w:rPr>
          <w:rFonts w:ascii="Times New Roman" w:eastAsia="Times New Roman" w:hAnsi="Times New Roman" w:cs="Times New Roman"/>
          <w:b/>
          <w:bCs/>
          <w:sz w:val="24"/>
          <w:szCs w:val="24"/>
        </w:rPr>
        <w:t>Spektroskopia</w:t>
      </w:r>
      <w:proofErr w:type="spellEnd"/>
      <w:r w:rsidR="004219D1" w:rsidRPr="00B90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4219D1" w:rsidRPr="00B90F44">
        <w:rPr>
          <w:rFonts w:ascii="Times New Roman" w:eastAsia="Times New Roman" w:hAnsi="Times New Roman" w:cs="Times New Roman"/>
          <w:b/>
          <w:bCs/>
          <w:sz w:val="24"/>
          <w:szCs w:val="24"/>
        </w:rPr>
        <w:t>Komponimeve</w:t>
      </w:r>
      <w:proofErr w:type="spellEnd"/>
      <w:r w:rsidR="004219D1" w:rsidRPr="00B90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219D1" w:rsidRPr="00B90F44">
        <w:rPr>
          <w:rFonts w:ascii="Times New Roman" w:eastAsia="Times New Roman" w:hAnsi="Times New Roman" w:cs="Times New Roman"/>
          <w:b/>
          <w:bCs/>
          <w:sz w:val="24"/>
          <w:szCs w:val="24"/>
        </w:rPr>
        <w:t>Organike</w:t>
      </w:r>
      <w:proofErr w:type="spellEnd"/>
    </w:p>
    <w:p w:rsidR="00B90F44" w:rsidRPr="00B90F44" w:rsidRDefault="00B90F44" w:rsidP="00B90F44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90F44" w:rsidRPr="00B90F44" w:rsidRDefault="00B90F44" w:rsidP="00B90F4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B90F44">
        <w:rPr>
          <w:rFonts w:ascii="Times New Roman" w:hAnsi="Times New Roman" w:cs="Times New Roman"/>
          <w:b/>
          <w:sz w:val="24"/>
          <w:szCs w:val="24"/>
          <w:lang w:val="it-IT"/>
        </w:rPr>
        <w:t xml:space="preserve">Mësimdhënësi: </w:t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>Prof. Asoc. Ramiz Hoti</w:t>
      </w:r>
    </w:p>
    <w:p w:rsidR="00B90F44" w:rsidRPr="00B90F44" w:rsidRDefault="00B90F44" w:rsidP="00B90F44">
      <w:pPr>
        <w:spacing w:before="12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r w:rsidRPr="00B90F44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Statusi i lëndës:</w:t>
      </w:r>
      <w:r w:rsidRPr="00B90F44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B90F44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Obligative</w:t>
      </w:r>
      <w:proofErr w:type="spellEnd"/>
    </w:p>
    <w:p w:rsidR="004219D1" w:rsidRPr="00B90F44" w:rsidRDefault="00B90F44" w:rsidP="00B90F4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90F44">
        <w:rPr>
          <w:rFonts w:ascii="Times New Roman" w:hAnsi="Times New Roman" w:cs="Times New Roman"/>
          <w:b/>
          <w:sz w:val="24"/>
          <w:szCs w:val="24"/>
          <w:lang w:val="it-IT"/>
        </w:rPr>
        <w:t>ECTS kredi:</w:t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 xml:space="preserve"> 6</w:t>
      </w:r>
    </w:p>
    <w:p w:rsidR="00B90F44" w:rsidRPr="00B90F44" w:rsidRDefault="00B90F44" w:rsidP="004219D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90F44">
        <w:rPr>
          <w:rFonts w:ascii="Times New Roman" w:eastAsia="Times New Roman" w:hAnsi="Times New Roman" w:cs="Times New Roman"/>
          <w:b/>
          <w:bCs/>
          <w:sz w:val="24"/>
          <w:szCs w:val="24"/>
        </w:rPr>
        <w:t>Përmbajtja</w:t>
      </w:r>
      <w:proofErr w:type="spellEnd"/>
      <w:r w:rsidRPr="00B90F4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0F4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Nocionet themelore spektrometrike. Spektrometria e masës, Sprktrometria IK, parimet dhe funksionimi i Spektrofotometrit IK.  Spektrometria RBM, Aplikimi i Spektroskopisë RBM dydimensionale në kiminë organike e bio-organike. Korelacioni i shifteve kimike(COSY, RELAYH, HETCOR etj.).</w:t>
      </w:r>
    </w:p>
    <w:p w:rsidR="004219D1" w:rsidRPr="00B90F44" w:rsidRDefault="004219D1" w:rsidP="004219D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90F44">
        <w:rPr>
          <w:rFonts w:ascii="Times New Roman" w:eastAsia="Times New Roman" w:hAnsi="Times New Roman" w:cs="Times New Roman"/>
          <w:b/>
          <w:bCs/>
          <w:sz w:val="24"/>
          <w:szCs w:val="24"/>
        </w:rPr>
        <w:t>Qëllimi</w:t>
      </w:r>
      <w:proofErr w:type="spellEnd"/>
      <w:r w:rsidRPr="00B90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B90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/>
          <w:bCs/>
          <w:sz w:val="24"/>
          <w:szCs w:val="24"/>
        </w:rPr>
        <w:t>lëndës</w:t>
      </w:r>
      <w:proofErr w:type="spellEnd"/>
      <w:r w:rsidRPr="00B90F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 w:rsidRPr="00B90F44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tudientët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thellojnë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njohuritë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teorike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praktike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nga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fusha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karakterizimit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kimik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të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komponimeve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organike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bioorganike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metoda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spektrale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, duke u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fokusuar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Spektrometrinë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RBM (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dydimensionale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dhe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tridimensionale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90F44" w:rsidRPr="00B90F44" w:rsidRDefault="00B90F44" w:rsidP="00B90F44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B90F44">
        <w:rPr>
          <w:rFonts w:ascii="Times New Roman" w:hAnsi="Times New Roman" w:cs="Times New Roman"/>
          <w:b/>
          <w:sz w:val="24"/>
          <w:szCs w:val="24"/>
          <w:lang w:val="it-IT"/>
        </w:rPr>
        <w:t xml:space="preserve">Rezultatet e të nxënit: </w:t>
      </w:r>
      <w:r w:rsidRPr="00B90F44">
        <w:rPr>
          <w:rFonts w:ascii="Times New Roman" w:hAnsi="Times New Roman" w:cs="Times New Roman"/>
          <w:i/>
          <w:sz w:val="24"/>
          <w:szCs w:val="24"/>
          <w:lang w:val="it-IT"/>
        </w:rPr>
        <w:t>Pas përfundimit të këtij kursi (lënde) studenti do të jetë në gjendje që:</w:t>
      </w:r>
    </w:p>
    <w:p w:rsidR="00B90F44" w:rsidRPr="00B90F44" w:rsidRDefault="00B90F44" w:rsidP="00B90F44">
      <w:pPr>
        <w:numPr>
          <w:ilvl w:val="0"/>
          <w:numId w:val="6"/>
        </w:numPr>
        <w:tabs>
          <w:tab w:val="clear" w:pos="720"/>
          <w:tab w:val="num" w:pos="342"/>
        </w:tabs>
        <w:spacing w:after="0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B90F44">
        <w:rPr>
          <w:rFonts w:ascii="Times New Roman" w:hAnsi="Times New Roman" w:cs="Times New Roman"/>
          <w:bCs/>
          <w:sz w:val="24"/>
          <w:szCs w:val="24"/>
          <w:lang w:val="it-IT"/>
        </w:rPr>
        <w:t>Të njohin vetitë e bashkëveprimit të rrezatimit elektromagnetik me materien.</w:t>
      </w:r>
      <w:r w:rsidRPr="00B90F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0F44" w:rsidRPr="00B90F44" w:rsidRDefault="00B90F44" w:rsidP="00B90F44">
      <w:pPr>
        <w:numPr>
          <w:ilvl w:val="0"/>
          <w:numId w:val="6"/>
        </w:numPr>
        <w:tabs>
          <w:tab w:val="clear" w:pos="720"/>
          <w:tab w:val="num" w:pos="342"/>
        </w:tabs>
        <w:spacing w:after="0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B90F44">
        <w:rPr>
          <w:rFonts w:ascii="Times New Roman" w:hAnsi="Times New Roman" w:cs="Times New Roman"/>
          <w:bCs/>
          <w:sz w:val="24"/>
          <w:szCs w:val="24"/>
          <w:lang w:val="it-IT"/>
        </w:rPr>
        <w:t>Të përshkruajnë parimin e funksionimit të instrumenteve UV/Vis, SIK, RBM dhe MS.</w:t>
      </w:r>
      <w:r w:rsidRPr="00B90F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0F44" w:rsidRPr="00B90F44" w:rsidRDefault="00B90F44" w:rsidP="00B90F44">
      <w:pPr>
        <w:numPr>
          <w:ilvl w:val="0"/>
          <w:numId w:val="6"/>
        </w:numPr>
        <w:tabs>
          <w:tab w:val="clear" w:pos="720"/>
          <w:tab w:val="num" w:pos="342"/>
        </w:tabs>
        <w:spacing w:after="0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B90F44">
        <w:rPr>
          <w:rFonts w:ascii="Times New Roman" w:hAnsi="Times New Roman" w:cs="Times New Roman"/>
          <w:bCs/>
          <w:sz w:val="24"/>
          <w:szCs w:val="24"/>
          <w:lang w:val="de-DE"/>
        </w:rPr>
        <w:t>Të identifikojnë piket karakteristike të absorbimit për secilën metodë spektrale.</w:t>
      </w:r>
      <w:r w:rsidRPr="00B90F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0F44" w:rsidRPr="00B90F44" w:rsidRDefault="00B90F44" w:rsidP="00B90F44">
      <w:pPr>
        <w:numPr>
          <w:ilvl w:val="0"/>
          <w:numId w:val="6"/>
        </w:numPr>
        <w:tabs>
          <w:tab w:val="clear" w:pos="720"/>
          <w:tab w:val="num" w:pos="342"/>
        </w:tabs>
        <w:spacing w:after="0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B90F4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Të analizojnë spektrat UV/Vis, IK,  </w:t>
      </w:r>
      <w:r w:rsidRPr="00B90F44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1</w:t>
      </w:r>
      <w:r w:rsidRPr="00B90F44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H-RBM, </w:t>
      </w:r>
      <w:r w:rsidRPr="00B90F44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13</w:t>
      </w:r>
      <w:r w:rsidRPr="00B90F44">
        <w:rPr>
          <w:rFonts w:ascii="Times New Roman" w:hAnsi="Times New Roman" w:cs="Times New Roman"/>
          <w:bCs/>
          <w:sz w:val="24"/>
          <w:szCs w:val="24"/>
          <w:lang w:val="de-DE"/>
        </w:rPr>
        <w:t>C-RBM dhe spektrat e masës.</w:t>
      </w:r>
      <w:r w:rsidRPr="00B90F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0F44" w:rsidRPr="00B90F44" w:rsidRDefault="00B90F44" w:rsidP="00B90F44">
      <w:pPr>
        <w:numPr>
          <w:ilvl w:val="0"/>
          <w:numId w:val="6"/>
        </w:numPr>
        <w:tabs>
          <w:tab w:val="clear" w:pos="720"/>
          <w:tab w:val="num" w:pos="342"/>
        </w:tabs>
        <w:spacing w:after="0"/>
        <w:ind w:left="342"/>
        <w:jc w:val="both"/>
        <w:rPr>
          <w:rFonts w:ascii="Times New Roman" w:hAnsi="Times New Roman" w:cs="Times New Roman"/>
          <w:sz w:val="24"/>
          <w:szCs w:val="24"/>
        </w:rPr>
      </w:pPr>
      <w:r w:rsidRPr="00B90F44">
        <w:rPr>
          <w:rFonts w:ascii="Times New Roman" w:hAnsi="Times New Roman" w:cs="Times New Roman"/>
          <w:bCs/>
          <w:sz w:val="24"/>
          <w:szCs w:val="24"/>
          <w:lang w:val="de-DE"/>
        </w:rPr>
        <w:t>Të përcaktojnë përbërjen dhe strukturën e komponimeve organike nga të dhënat spektrale.</w:t>
      </w:r>
      <w:r w:rsidRPr="00B90F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0F44" w:rsidRPr="00B90F44" w:rsidRDefault="00B90F44" w:rsidP="00B90F44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B90F44">
        <w:rPr>
          <w:rFonts w:ascii="Times New Roman" w:hAnsi="Times New Roman" w:cs="Times New Roman"/>
          <w:bCs/>
          <w:sz w:val="24"/>
          <w:szCs w:val="24"/>
          <w:lang w:val="de-DE"/>
        </w:rPr>
        <w:t>Të vlerësojnë rëndësinë e metodave të spektroskopisë UV/Vis, SIK, RBM dhe MS për karakterizimin e strukturës së komponimeve organike.</w:t>
      </w:r>
    </w:p>
    <w:p w:rsidR="00B90F44" w:rsidRPr="00B90F44" w:rsidRDefault="00B90F44" w:rsidP="00B90F44">
      <w:pPr>
        <w:pStyle w:val="NoSpacing"/>
        <w:rPr>
          <w:i/>
        </w:rPr>
      </w:pPr>
      <w:proofErr w:type="spellStart"/>
      <w:r w:rsidRPr="00B90F44">
        <w:rPr>
          <w:b/>
        </w:rPr>
        <w:t>Metodologjia</w:t>
      </w:r>
      <w:proofErr w:type="spellEnd"/>
      <w:r w:rsidRPr="00B90F44">
        <w:rPr>
          <w:b/>
        </w:rPr>
        <w:t xml:space="preserve"> e </w:t>
      </w:r>
      <w:proofErr w:type="spellStart"/>
      <w:r w:rsidRPr="00B90F44">
        <w:rPr>
          <w:b/>
        </w:rPr>
        <w:t>mësimëdhënies</w:t>
      </w:r>
      <w:proofErr w:type="spellEnd"/>
      <w:r w:rsidRPr="00B90F44">
        <w:rPr>
          <w:b/>
        </w:rPr>
        <w:t xml:space="preserve">:  </w:t>
      </w:r>
      <w:r w:rsidRPr="00B90F44">
        <w:rPr>
          <w:lang w:val="it-IT"/>
        </w:rPr>
        <w:t xml:space="preserve">Leksione me </w:t>
      </w:r>
      <w:proofErr w:type="gramStart"/>
      <w:r w:rsidRPr="00B90F44">
        <w:rPr>
          <w:lang w:val="it-IT"/>
        </w:rPr>
        <w:t>mësim  interaktiv</w:t>
      </w:r>
      <w:proofErr w:type="gramEnd"/>
      <w:r w:rsidRPr="00B90F44">
        <w:rPr>
          <w:lang w:val="it-IT"/>
        </w:rPr>
        <w:t>, diskutime, debate, ushtrime eksperimentale individuale e grupore, punime seminarike</w:t>
      </w:r>
    </w:p>
    <w:p w:rsidR="00B90F44" w:rsidRPr="00B90F44" w:rsidRDefault="00B90F44" w:rsidP="00B90F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0F44">
        <w:rPr>
          <w:rFonts w:ascii="Times New Roman" w:hAnsi="Times New Roman" w:cs="Times New Roman"/>
          <w:b/>
          <w:sz w:val="24"/>
          <w:szCs w:val="24"/>
        </w:rPr>
        <w:t>Metodat</w:t>
      </w:r>
      <w:proofErr w:type="spellEnd"/>
      <w:r w:rsidRPr="00B90F4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B90F44">
        <w:rPr>
          <w:rFonts w:ascii="Times New Roman" w:hAnsi="Times New Roman" w:cs="Times New Roman"/>
          <w:b/>
          <w:sz w:val="24"/>
          <w:szCs w:val="24"/>
        </w:rPr>
        <w:t>vlerësimit</w:t>
      </w:r>
      <w:proofErr w:type="spellEnd"/>
      <w:r w:rsidRPr="00B90F44">
        <w:rPr>
          <w:rFonts w:ascii="Times New Roman" w:hAnsi="Times New Roman" w:cs="Times New Roman"/>
          <w:b/>
          <w:sz w:val="24"/>
          <w:szCs w:val="24"/>
        </w:rPr>
        <w:t>: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vlerësim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studentit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merren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aktivitetet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mësiomore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studentit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pasë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konsideratë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0F44">
        <w:rPr>
          <w:rFonts w:ascii="Times New Roman" w:hAnsi="Times New Roman" w:cs="Times New Roman"/>
          <w:sz w:val="24"/>
          <w:szCs w:val="24"/>
        </w:rPr>
        <w:t>aspektet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matshme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dijes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shkathtësive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qëndrimeve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ab/>
      </w:r>
      <w:r w:rsidRPr="00B90F44">
        <w:rPr>
          <w:rFonts w:ascii="Times New Roman" w:hAnsi="Times New Roman" w:cs="Times New Roman"/>
          <w:sz w:val="24"/>
          <w:szCs w:val="24"/>
        </w:rPr>
        <w:tab/>
      </w:r>
      <w:r w:rsidRPr="00B90F44">
        <w:rPr>
          <w:rFonts w:ascii="Times New Roman" w:hAnsi="Times New Roman" w:cs="Times New Roman"/>
          <w:sz w:val="24"/>
          <w:szCs w:val="24"/>
        </w:rPr>
        <w:tab/>
      </w:r>
      <w:r w:rsidRPr="00B90F44">
        <w:rPr>
          <w:rFonts w:ascii="Times New Roman" w:hAnsi="Times New Roman" w:cs="Times New Roman"/>
          <w:sz w:val="24"/>
          <w:szCs w:val="24"/>
        </w:rPr>
        <w:tab/>
      </w:r>
    </w:p>
    <w:p w:rsidR="00B90F44" w:rsidRPr="00B90F44" w:rsidRDefault="00B90F44" w:rsidP="00B90F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F44">
        <w:rPr>
          <w:rFonts w:ascii="Times New Roman" w:hAnsi="Times New Roman" w:cs="Times New Roman"/>
          <w:sz w:val="24"/>
          <w:szCs w:val="24"/>
          <w:lang w:val="it-IT"/>
        </w:rPr>
        <w:t xml:space="preserve">Pjesëmarrja aktive në leksione  </w:t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10%</w:t>
      </w:r>
    </w:p>
    <w:p w:rsidR="00B90F44" w:rsidRPr="00B90F44" w:rsidRDefault="00B90F44" w:rsidP="00B90F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F44">
        <w:rPr>
          <w:rFonts w:ascii="Times New Roman" w:hAnsi="Times New Roman" w:cs="Times New Roman"/>
          <w:sz w:val="24"/>
          <w:szCs w:val="24"/>
          <w:lang w:val="it-IT"/>
        </w:rPr>
        <w:t xml:space="preserve">Kryerja e ushtrimeve   </w:t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25%</w:t>
      </w:r>
    </w:p>
    <w:p w:rsidR="00B90F44" w:rsidRPr="00B90F44" w:rsidRDefault="00B90F44" w:rsidP="00B90F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F44">
        <w:rPr>
          <w:rFonts w:ascii="Times New Roman" w:hAnsi="Times New Roman" w:cs="Times New Roman"/>
          <w:sz w:val="24"/>
          <w:szCs w:val="24"/>
          <w:lang w:val="it-IT"/>
        </w:rPr>
        <w:t>Vlerësimi i testeve intermediare:</w:t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10%</w:t>
      </w:r>
    </w:p>
    <w:p w:rsidR="00B90F44" w:rsidRPr="00B90F44" w:rsidRDefault="00B90F44" w:rsidP="00B90F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F44">
        <w:rPr>
          <w:rFonts w:ascii="Times New Roman" w:hAnsi="Times New Roman" w:cs="Times New Roman"/>
          <w:sz w:val="24"/>
          <w:szCs w:val="24"/>
          <w:lang w:val="it-IT"/>
        </w:rPr>
        <w:t xml:space="preserve">Punimet seminarike  </w:t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15%</w:t>
      </w:r>
    </w:p>
    <w:p w:rsidR="00B90F44" w:rsidRPr="00B90F44" w:rsidRDefault="00B90F44" w:rsidP="00B90F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F44">
        <w:rPr>
          <w:rFonts w:ascii="Times New Roman" w:hAnsi="Times New Roman" w:cs="Times New Roman"/>
          <w:sz w:val="24"/>
          <w:szCs w:val="24"/>
          <w:lang w:val="it-IT"/>
        </w:rPr>
        <w:t>Provimi final: (testi final, 30% + intervista, 10%)</w:t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  <w:t>40%</w:t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B90F44" w:rsidRPr="00B90F44" w:rsidRDefault="00B90F44" w:rsidP="00B90F4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F44">
        <w:rPr>
          <w:rFonts w:ascii="Times New Roman" w:hAnsi="Times New Roman" w:cs="Times New Roman"/>
          <w:sz w:val="24"/>
          <w:szCs w:val="24"/>
          <w:lang w:val="it-IT"/>
        </w:rPr>
        <w:t>Total:</w:t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B90F44">
        <w:rPr>
          <w:rFonts w:ascii="Times New Roman" w:hAnsi="Times New Roman" w:cs="Times New Roman"/>
          <w:sz w:val="24"/>
          <w:szCs w:val="24"/>
          <w:lang w:val="it-IT"/>
        </w:rPr>
        <w:tab/>
        <w:t>100%</w:t>
      </w:r>
    </w:p>
    <w:p w:rsidR="00B90F44" w:rsidRPr="00B90F44" w:rsidRDefault="00B90F44" w:rsidP="00B90F4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0F44">
        <w:rPr>
          <w:rFonts w:ascii="Times New Roman" w:hAnsi="Times New Roman" w:cs="Times New Roman"/>
          <w:b/>
          <w:sz w:val="24"/>
          <w:szCs w:val="24"/>
        </w:rPr>
        <w:t>Mjetet</w:t>
      </w:r>
      <w:proofErr w:type="spellEnd"/>
      <w:r w:rsidRPr="00B90F44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B90F44">
        <w:rPr>
          <w:rFonts w:ascii="Times New Roman" w:hAnsi="Times New Roman" w:cs="Times New Roman"/>
          <w:b/>
          <w:sz w:val="24"/>
          <w:szCs w:val="24"/>
        </w:rPr>
        <w:t>konkretizimit</w:t>
      </w:r>
      <w:proofErr w:type="spellEnd"/>
      <w:r w:rsidRPr="00B90F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0F44">
        <w:rPr>
          <w:rFonts w:ascii="Times New Roman" w:hAnsi="Times New Roman" w:cs="Times New Roman"/>
          <w:color w:val="000000"/>
          <w:sz w:val="24"/>
          <w:szCs w:val="24"/>
          <w:lang w:val="sq-AL"/>
        </w:rPr>
        <w:t>T</w:t>
      </w:r>
      <w:r w:rsidRPr="00B90F44">
        <w:rPr>
          <w:rFonts w:ascii="Times New Roman" w:hAnsi="Times New Roman" w:cs="Times New Roman"/>
          <w:sz w:val="24"/>
          <w:szCs w:val="24"/>
          <w:lang w:val="sq-AL"/>
        </w:rPr>
        <w:t xml:space="preserve">abela dhe </w:t>
      </w:r>
      <w:proofErr w:type="spellStart"/>
      <w:r w:rsidRPr="00B90F44">
        <w:rPr>
          <w:rFonts w:ascii="Times New Roman" w:hAnsi="Times New Roman" w:cs="Times New Roman"/>
          <w:sz w:val="24"/>
          <w:szCs w:val="24"/>
          <w:lang w:val="sq-AL"/>
        </w:rPr>
        <w:t>markera</w:t>
      </w:r>
      <w:proofErr w:type="spellEnd"/>
      <w:r w:rsidRPr="00B90F44">
        <w:rPr>
          <w:rFonts w:ascii="Times New Roman" w:hAnsi="Times New Roman" w:cs="Times New Roman"/>
          <w:sz w:val="24"/>
          <w:szCs w:val="24"/>
          <w:lang w:val="sq-AL"/>
        </w:rPr>
        <w:t xml:space="preserve">, kompjuteri, </w:t>
      </w:r>
      <w:proofErr w:type="spellStart"/>
      <w:r w:rsidRPr="00B90F44">
        <w:rPr>
          <w:rFonts w:ascii="Times New Roman" w:hAnsi="Times New Roman" w:cs="Times New Roman"/>
          <w:sz w:val="24"/>
          <w:szCs w:val="24"/>
          <w:lang w:val="sq-AL"/>
        </w:rPr>
        <w:t>videoprojektori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>.</w:t>
      </w:r>
    </w:p>
    <w:p w:rsidR="00B90F44" w:rsidRPr="00B90F44" w:rsidRDefault="00B90F44" w:rsidP="00B90F44">
      <w:pPr>
        <w:pStyle w:val="ListParagraph"/>
        <w:numPr>
          <w:ilvl w:val="0"/>
          <w:numId w:val="7"/>
        </w:numPr>
        <w:spacing w:before="120"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q-AL"/>
        </w:rPr>
      </w:pPr>
      <w:proofErr w:type="spellStart"/>
      <w:r w:rsidRPr="00B90F44">
        <w:rPr>
          <w:rFonts w:ascii="Times New Roman" w:hAnsi="Times New Roman" w:cs="Times New Roman"/>
          <w:b/>
          <w:sz w:val="24"/>
          <w:szCs w:val="24"/>
        </w:rPr>
        <w:t>Raporti</w:t>
      </w:r>
      <w:proofErr w:type="spellEnd"/>
      <w:r w:rsidRPr="00B9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b/>
          <w:sz w:val="24"/>
          <w:szCs w:val="24"/>
        </w:rPr>
        <w:t>ndërmjet</w:t>
      </w:r>
      <w:proofErr w:type="spellEnd"/>
      <w:r w:rsidRPr="00B9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b/>
          <w:sz w:val="24"/>
          <w:szCs w:val="24"/>
        </w:rPr>
        <w:t>pjesës</w:t>
      </w:r>
      <w:proofErr w:type="spellEnd"/>
      <w:r w:rsidRPr="00B9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b/>
          <w:sz w:val="24"/>
          <w:szCs w:val="24"/>
        </w:rPr>
        <w:t>teorike</w:t>
      </w:r>
      <w:proofErr w:type="spellEnd"/>
      <w:r w:rsidRPr="00B9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B9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b/>
          <w:sz w:val="24"/>
          <w:szCs w:val="24"/>
        </w:rPr>
        <w:t>ushtrimeve</w:t>
      </w:r>
      <w:proofErr w:type="spellEnd"/>
      <w:r w:rsidRPr="00B90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 w:rsidRPr="00B90F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0F44">
        <w:rPr>
          <w:rFonts w:ascii="Times New Roman" w:hAnsi="Times New Roman" w:cs="Times New Roman"/>
          <w:color w:val="000000"/>
          <w:sz w:val="24"/>
          <w:szCs w:val="24"/>
          <w:lang w:val="sq-AL"/>
        </w:rPr>
        <w:t>30 orë teori dhe 30 orë praktikë laboratorike.</w:t>
      </w:r>
    </w:p>
    <w:p w:rsidR="004219D1" w:rsidRPr="00B90F44" w:rsidRDefault="004219D1" w:rsidP="004219D1">
      <w:pP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spellStart"/>
      <w:r w:rsidRPr="00B90F44">
        <w:rPr>
          <w:rFonts w:ascii="Times New Roman" w:eastAsia="Times New Roman" w:hAnsi="Times New Roman" w:cs="Times New Roman"/>
          <w:b/>
          <w:sz w:val="24"/>
          <w:szCs w:val="24"/>
        </w:rPr>
        <w:t>Literatura</w:t>
      </w:r>
      <w:proofErr w:type="spellEnd"/>
      <w:r w:rsidRPr="00B90F4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42CD9" w:rsidRPr="00B90F44" w:rsidRDefault="00542CD9" w:rsidP="00542C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0F44">
        <w:rPr>
          <w:rFonts w:ascii="Times New Roman" w:hAnsi="Times New Roman" w:cs="Times New Roman"/>
          <w:bCs/>
          <w:sz w:val="24"/>
          <w:szCs w:val="24"/>
        </w:rPr>
        <w:t xml:space="preserve">R. M. Silverstein, F. X. Webster, D. J. </w:t>
      </w:r>
      <w:proofErr w:type="spellStart"/>
      <w:r w:rsidRPr="00B90F44">
        <w:rPr>
          <w:rFonts w:ascii="Times New Roman" w:hAnsi="Times New Roman" w:cs="Times New Roman"/>
          <w:bCs/>
          <w:sz w:val="24"/>
          <w:szCs w:val="24"/>
        </w:rPr>
        <w:t>Kiemle</w:t>
      </w:r>
      <w:proofErr w:type="spellEnd"/>
      <w:r w:rsidRPr="00B90F4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0F44">
        <w:rPr>
          <w:rFonts w:ascii="Times New Roman" w:hAnsi="Times New Roman" w:cs="Times New Roman"/>
          <w:bCs/>
          <w:sz w:val="24"/>
          <w:szCs w:val="24"/>
        </w:rPr>
        <w:t>Spektrometric</w:t>
      </w:r>
      <w:proofErr w:type="spellEnd"/>
      <w:r w:rsidRPr="00B90F44">
        <w:rPr>
          <w:rFonts w:ascii="Times New Roman" w:hAnsi="Times New Roman" w:cs="Times New Roman"/>
          <w:bCs/>
          <w:sz w:val="24"/>
          <w:szCs w:val="24"/>
        </w:rPr>
        <w:t xml:space="preserve"> Identification of Organic Compounds, (eighth ed.), John Willey &amp; Sons Inc. New York, 2015.</w:t>
      </w:r>
    </w:p>
    <w:p w:rsidR="00542CD9" w:rsidRPr="00B90F44" w:rsidRDefault="00542CD9" w:rsidP="00542C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0F44">
        <w:rPr>
          <w:rFonts w:ascii="Times New Roman" w:hAnsi="Times New Roman" w:cs="Times New Roman"/>
          <w:bCs/>
          <w:sz w:val="24"/>
          <w:szCs w:val="24"/>
        </w:rPr>
        <w:t xml:space="preserve">Roger </w:t>
      </w:r>
      <w:proofErr w:type="spellStart"/>
      <w:r w:rsidRPr="00B90F44">
        <w:rPr>
          <w:rFonts w:ascii="Times New Roman" w:hAnsi="Times New Roman" w:cs="Times New Roman"/>
          <w:bCs/>
          <w:sz w:val="24"/>
          <w:szCs w:val="24"/>
        </w:rPr>
        <w:t>Linington</w:t>
      </w:r>
      <w:proofErr w:type="spellEnd"/>
      <w:r w:rsidRPr="00B90F44">
        <w:rPr>
          <w:rFonts w:ascii="Times New Roman" w:hAnsi="Times New Roman" w:cs="Times New Roman"/>
          <w:bCs/>
          <w:sz w:val="24"/>
          <w:szCs w:val="24"/>
        </w:rPr>
        <w:t>, Philip Williams, John MacMillan, Problems in Organic Structure Determination (A Practical Approach to NMR-</w:t>
      </w:r>
      <w:proofErr w:type="spellStart"/>
      <w:r w:rsidRPr="00B90F44">
        <w:rPr>
          <w:rFonts w:ascii="Times New Roman" w:hAnsi="Times New Roman" w:cs="Times New Roman"/>
          <w:bCs/>
          <w:sz w:val="24"/>
          <w:szCs w:val="24"/>
        </w:rPr>
        <w:t>Sprctroscopy</w:t>
      </w:r>
      <w:proofErr w:type="spellEnd"/>
      <w:r w:rsidRPr="00B90F44">
        <w:rPr>
          <w:rFonts w:ascii="Times New Roman" w:hAnsi="Times New Roman" w:cs="Times New Roman"/>
          <w:bCs/>
          <w:sz w:val="24"/>
          <w:szCs w:val="24"/>
        </w:rPr>
        <w:t xml:space="preserve">, CRC Pres, </w:t>
      </w:r>
      <w:proofErr w:type="spellStart"/>
      <w:r w:rsidRPr="00B90F44">
        <w:rPr>
          <w:rFonts w:ascii="Times New Roman" w:hAnsi="Times New Roman" w:cs="Times New Roman"/>
          <w:bCs/>
          <w:sz w:val="24"/>
          <w:szCs w:val="24"/>
        </w:rPr>
        <w:t>Taylor&amp;Francis</w:t>
      </w:r>
      <w:proofErr w:type="spellEnd"/>
      <w:r w:rsidRPr="00B90F44">
        <w:rPr>
          <w:rFonts w:ascii="Times New Roman" w:hAnsi="Times New Roman" w:cs="Times New Roman"/>
          <w:bCs/>
          <w:sz w:val="24"/>
          <w:szCs w:val="24"/>
        </w:rPr>
        <w:t xml:space="preserve"> Group, Boca Raton, London, New York, 2015.</w:t>
      </w:r>
    </w:p>
    <w:p w:rsidR="00542CD9" w:rsidRPr="00B90F44" w:rsidRDefault="00542CD9" w:rsidP="00542C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0F4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J. </w:t>
      </w:r>
      <w:proofErr w:type="spellStart"/>
      <w:r w:rsidRPr="00B90F44">
        <w:rPr>
          <w:rFonts w:ascii="Times New Roman" w:hAnsi="Times New Roman" w:cs="Times New Roman"/>
          <w:bCs/>
          <w:sz w:val="24"/>
          <w:szCs w:val="24"/>
        </w:rPr>
        <w:t>Throck</w:t>
      </w:r>
      <w:proofErr w:type="spellEnd"/>
      <w:r w:rsidRPr="00B90F44">
        <w:rPr>
          <w:rFonts w:ascii="Times New Roman" w:hAnsi="Times New Roman" w:cs="Times New Roman"/>
          <w:bCs/>
          <w:sz w:val="24"/>
          <w:szCs w:val="24"/>
        </w:rPr>
        <w:t xml:space="preserve"> Watson, O. David Sparkman, Introduction to Mass Spectrometry (Instrumentation, Application and Strategies for Data Interpretation), (Fourth Ed.) Willey, 2013.</w:t>
      </w:r>
    </w:p>
    <w:p w:rsidR="00542CD9" w:rsidRPr="00B90F44" w:rsidRDefault="00542CD9" w:rsidP="00542C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Erno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Pretsch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Philipphe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Buhmann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, Martin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Badertscher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, Structure Determination of Organic Compounds (Tables of Spectral Data), (4</w:t>
      </w:r>
      <w:r w:rsidRPr="00B90F4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revised ed.), Springer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Verlag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Berlin Heidelberg, 2009</w:t>
      </w:r>
    </w:p>
    <w:p w:rsidR="00542CD9" w:rsidRPr="00B90F44" w:rsidRDefault="00542CD9" w:rsidP="004219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F44" w:rsidRPr="00B90F44" w:rsidRDefault="00B90F44" w:rsidP="004219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736"/>
        <w:gridCol w:w="1559"/>
        <w:gridCol w:w="1944"/>
      </w:tblGrid>
      <w:tr w:rsidR="00B90F44" w:rsidRPr="00B90F44" w:rsidTr="00B854C2">
        <w:tc>
          <w:tcPr>
            <w:tcW w:w="8856" w:type="dxa"/>
            <w:gridSpan w:val="4"/>
            <w:shd w:val="clear" w:color="auto" w:fill="D9D9D9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B90F44" w:rsidRPr="00B90F44" w:rsidRDefault="00B90F44" w:rsidP="00B854C2">
            <w:pPr>
              <w:pStyle w:val="NoSpacing"/>
              <w:rPr>
                <w:lang w:val="sq-AL"/>
              </w:rPr>
            </w:pPr>
            <w:r w:rsidRPr="00B90F44">
              <w:rPr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Orë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Ditë/javë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Gjithsej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rPr>
                <w:lang w:val="sq-AL"/>
              </w:rPr>
            </w:pPr>
            <w:r w:rsidRPr="00B90F44">
              <w:rPr>
                <w:lang w:val="sq-AL"/>
              </w:rPr>
              <w:t>Ligjërata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30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rPr>
                <w:lang w:val="sq-AL"/>
              </w:rPr>
            </w:pPr>
            <w:r w:rsidRPr="00B90F44">
              <w:rPr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30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rPr>
                <w:lang w:val="sq-AL"/>
              </w:rPr>
            </w:pPr>
            <w:r w:rsidRPr="00B90F44">
              <w:rPr>
                <w:lang w:val="sq-AL"/>
              </w:rPr>
              <w:t>Punë praktike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rPr>
                <w:lang w:val="sq-AL"/>
              </w:rPr>
            </w:pPr>
            <w:r w:rsidRPr="00B90F44">
              <w:rPr>
                <w:lang w:val="sq-AL"/>
              </w:rPr>
              <w:t>Kontaktet me mësimdhënësin/konsultimet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rPr>
                <w:lang w:val="sq-AL"/>
              </w:rPr>
            </w:pPr>
            <w:r w:rsidRPr="00B90F44">
              <w:rPr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rPr>
                <w:lang w:val="sq-AL"/>
              </w:rPr>
            </w:pPr>
            <w:proofErr w:type="spellStart"/>
            <w:r w:rsidRPr="00B90F44">
              <w:rPr>
                <w:lang w:val="sq-AL"/>
              </w:rPr>
              <w:t>Kollokfiume</w:t>
            </w:r>
            <w:proofErr w:type="spellEnd"/>
            <w:r w:rsidRPr="00B90F44">
              <w:rPr>
                <w:lang w:val="sq-AL"/>
              </w:rPr>
              <w:t>, seminare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rPr>
                <w:lang w:val="sq-AL"/>
              </w:rPr>
            </w:pPr>
            <w:r w:rsidRPr="00B90F44">
              <w:rPr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rPr>
                <w:lang w:val="sq-AL"/>
              </w:rPr>
            </w:pPr>
            <w:r w:rsidRPr="00B90F44">
              <w:rPr>
                <w:lang w:val="sq-AL"/>
              </w:rPr>
              <w:t xml:space="preserve">Koha e studimit </w:t>
            </w:r>
            <w:proofErr w:type="spellStart"/>
            <w:r w:rsidRPr="00B90F44">
              <w:rPr>
                <w:lang w:val="sq-AL"/>
              </w:rPr>
              <w:t>vetanak</w:t>
            </w:r>
            <w:proofErr w:type="spellEnd"/>
            <w:r w:rsidRPr="00B90F44">
              <w:rPr>
                <w:lang w:val="sq-AL"/>
              </w:rPr>
              <w:t xml:space="preserve"> të studentit (në bibliotekë ose në shtëpi)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30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rPr>
                <w:lang w:val="sq-AL"/>
              </w:rPr>
            </w:pPr>
            <w:r w:rsidRPr="00B90F44">
              <w:rPr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rPr>
                <w:lang w:val="sq-AL"/>
              </w:rPr>
            </w:pPr>
            <w:r w:rsidRPr="00B90F44">
              <w:rPr>
                <w:lang w:val="sq-AL"/>
              </w:rPr>
              <w:t xml:space="preserve">Koha e kaluar në vlerësim (teste, </w:t>
            </w:r>
            <w:proofErr w:type="spellStart"/>
            <w:r w:rsidRPr="00B90F44">
              <w:rPr>
                <w:lang w:val="sq-AL"/>
              </w:rPr>
              <w:t>kuiz</w:t>
            </w:r>
            <w:proofErr w:type="spellEnd"/>
            <w:r w:rsidRPr="00B90F44">
              <w:rPr>
                <w:lang w:val="sq-AL"/>
              </w:rPr>
              <w:t>, provim final)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rPr>
                <w:lang w:val="sq-AL"/>
              </w:rPr>
            </w:pPr>
            <w:r w:rsidRPr="00B90F44">
              <w:rPr>
                <w:lang w:val="sq-AL"/>
              </w:rPr>
              <w:t xml:space="preserve">Projektet, prezantimet ,etj.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B90F44" w:rsidRPr="00B90F44" w:rsidRDefault="00B90F44" w:rsidP="00B854C2">
            <w:pPr>
              <w:pStyle w:val="NoSpacing"/>
              <w:rPr>
                <w:lang w:val="sq-AL"/>
              </w:rPr>
            </w:pPr>
            <w:r w:rsidRPr="00B90F44">
              <w:rPr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B90F44" w:rsidRPr="00B90F44" w:rsidRDefault="00B90F44" w:rsidP="00B854C2">
            <w:pPr>
              <w:pStyle w:val="NoSpacing"/>
              <w:jc w:val="center"/>
              <w:rPr>
                <w:b/>
                <w:lang w:val="sq-AL"/>
              </w:rPr>
            </w:pPr>
            <w:r w:rsidRPr="00B90F44">
              <w:rPr>
                <w:b/>
                <w:lang w:val="sq-AL"/>
              </w:rPr>
              <w:t>150</w:t>
            </w:r>
          </w:p>
        </w:tc>
      </w:tr>
    </w:tbl>
    <w:p w:rsidR="00B90F44" w:rsidRPr="00B90F44" w:rsidRDefault="00B90F44" w:rsidP="004219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F44" w:rsidRPr="00B90F44" w:rsidRDefault="00B90F44" w:rsidP="004219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F44" w:rsidRPr="00B90F44" w:rsidRDefault="00B90F44" w:rsidP="004219D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19D1" w:rsidRPr="00B90F44" w:rsidRDefault="00B90F44" w:rsidP="004219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F44"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 w:rsidR="004219D1" w:rsidRPr="00B90F44">
        <w:rPr>
          <w:rFonts w:ascii="Times New Roman" w:hAnsi="Times New Roman" w:cs="Times New Roman"/>
          <w:b/>
          <w:bCs/>
          <w:sz w:val="24"/>
          <w:szCs w:val="24"/>
        </w:rPr>
        <w:t>Spectroscopy of Organic Compounds</w:t>
      </w:r>
    </w:p>
    <w:p w:rsidR="00B90F44" w:rsidRPr="00B90F44" w:rsidRDefault="00B90F44" w:rsidP="00B90F4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90F44">
        <w:rPr>
          <w:rFonts w:ascii="Times New Roman" w:hAnsi="Times New Roman" w:cs="Times New Roman"/>
          <w:b/>
          <w:sz w:val="24"/>
          <w:szCs w:val="24"/>
        </w:rPr>
        <w:t xml:space="preserve">Lecturer: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Prof.asoc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Ramiz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Hoti</w:t>
      </w:r>
      <w:proofErr w:type="spellEnd"/>
    </w:p>
    <w:p w:rsidR="00B90F44" w:rsidRPr="00B90F44" w:rsidRDefault="00B90F44" w:rsidP="00B90F44">
      <w:pPr>
        <w:spacing w:before="120"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</w:pPr>
      <w:r w:rsidRPr="00B90F44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Status </w:t>
      </w:r>
      <w:proofErr w:type="spellStart"/>
      <w:r w:rsidRPr="00B90F44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of</w:t>
      </w:r>
      <w:proofErr w:type="spellEnd"/>
      <w:r w:rsidRPr="00B90F44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 the </w:t>
      </w:r>
      <w:proofErr w:type="spellStart"/>
      <w:r w:rsidRPr="00B90F44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>course</w:t>
      </w:r>
      <w:proofErr w:type="spellEnd"/>
      <w:r w:rsidRPr="00B90F44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: </w:t>
      </w:r>
      <w:proofErr w:type="spellStart"/>
      <w:r w:rsidRPr="00B90F44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>Mandatory</w:t>
      </w:r>
      <w:proofErr w:type="spellEnd"/>
    </w:p>
    <w:p w:rsidR="00B90F44" w:rsidRPr="00B90F44" w:rsidRDefault="00B90F44" w:rsidP="00B90F44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B90F44">
        <w:rPr>
          <w:rFonts w:ascii="Times New Roman" w:hAnsi="Times New Roman" w:cs="Times New Roman"/>
          <w:b/>
          <w:bCs/>
          <w:color w:val="000000"/>
          <w:sz w:val="24"/>
          <w:szCs w:val="24"/>
          <w:lang w:val="sq-AL"/>
        </w:rPr>
        <w:t xml:space="preserve">ECTS: </w:t>
      </w:r>
      <w:r w:rsidRPr="00B90F44">
        <w:rPr>
          <w:rFonts w:ascii="Times New Roman" w:hAnsi="Times New Roman" w:cs="Times New Roman"/>
          <w:bCs/>
          <w:color w:val="000000"/>
          <w:sz w:val="24"/>
          <w:szCs w:val="24"/>
          <w:lang w:val="sq-AL"/>
        </w:rPr>
        <w:t xml:space="preserve"> 6</w:t>
      </w:r>
    </w:p>
    <w:p w:rsidR="004219D1" w:rsidRPr="00B90F44" w:rsidRDefault="00B90F44" w:rsidP="0042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44">
        <w:rPr>
          <w:rFonts w:ascii="Times New Roman" w:hAnsi="Times New Roman" w:cs="Times New Roman"/>
          <w:b/>
          <w:color w:val="212121"/>
          <w:sz w:val="24"/>
          <w:szCs w:val="24"/>
        </w:rPr>
        <w:t>Course Description</w:t>
      </w:r>
      <w:r w:rsidRPr="00B90F44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Pr="00B90F44">
        <w:rPr>
          <w:rFonts w:ascii="Times New Roman" w:hAnsi="Times New Roman" w:cs="Times New Roman"/>
          <w:sz w:val="24"/>
          <w:szCs w:val="24"/>
        </w:rPr>
        <w:t xml:space="preserve"> Identification of organic compounds and their characterization of the structure </w:t>
      </w:r>
      <w:proofErr w:type="gramStart"/>
      <w:r w:rsidRPr="00B90F44">
        <w:rPr>
          <w:rFonts w:ascii="Times New Roman" w:hAnsi="Times New Roman" w:cs="Times New Roman"/>
          <w:sz w:val="24"/>
          <w:szCs w:val="24"/>
        </w:rPr>
        <w:t>requires</w:t>
      </w:r>
      <w:proofErr w:type="gramEnd"/>
      <w:r w:rsidRPr="00B90F44">
        <w:rPr>
          <w:rFonts w:ascii="Times New Roman" w:hAnsi="Times New Roman" w:cs="Times New Roman"/>
          <w:sz w:val="24"/>
          <w:szCs w:val="24"/>
        </w:rPr>
        <w:t xml:space="preserve"> the use of sophisticated research methods. Spectral Methods have extraordinary importance for analytical analyses of organic compounds. These methods are indispensable for structural characterization of organic compounds. UV / Vis Spectroscopy s, IR spectroscopy, nuclear magnetic resonance (NMR) and Mass spectroscopy (MS) allows determination of the structure of carbon chain of the compounds and their functional groups. In addition, </w:t>
      </w:r>
      <w:proofErr w:type="spellStart"/>
      <w:r w:rsidRPr="00B90F44">
        <w:rPr>
          <w:rFonts w:ascii="Times New Roman" w:hAnsi="Times New Roman" w:cs="Times New Roman"/>
          <w:sz w:val="24"/>
          <w:szCs w:val="24"/>
        </w:rPr>
        <w:t>thesse</w:t>
      </w:r>
      <w:proofErr w:type="spellEnd"/>
      <w:r w:rsidRPr="00B90F44">
        <w:rPr>
          <w:rFonts w:ascii="Times New Roman" w:hAnsi="Times New Roman" w:cs="Times New Roman"/>
          <w:sz w:val="24"/>
          <w:szCs w:val="24"/>
        </w:rPr>
        <w:t xml:space="preserve"> methods </w:t>
      </w:r>
      <w:proofErr w:type="gramStart"/>
      <w:r w:rsidRPr="00B90F44">
        <w:rPr>
          <w:rFonts w:ascii="Times New Roman" w:hAnsi="Times New Roman" w:cs="Times New Roman"/>
          <w:sz w:val="24"/>
          <w:szCs w:val="24"/>
        </w:rPr>
        <w:t>allows  the</w:t>
      </w:r>
      <w:proofErr w:type="gramEnd"/>
      <w:r w:rsidRPr="00B90F44">
        <w:rPr>
          <w:rFonts w:ascii="Times New Roman" w:hAnsi="Times New Roman" w:cs="Times New Roman"/>
          <w:sz w:val="24"/>
          <w:szCs w:val="24"/>
        </w:rPr>
        <w:t xml:space="preserve"> determination of the types of bonds, their bond strength, and the bond angles in organic molecules.</w:t>
      </w:r>
    </w:p>
    <w:p w:rsidR="00B90F44" w:rsidRPr="00B90F44" w:rsidRDefault="00B90F44" w:rsidP="00421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4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Course objectives: </w:t>
      </w:r>
      <w:r w:rsidRPr="00B90F44">
        <w:rPr>
          <w:rFonts w:ascii="Times New Roman" w:hAnsi="Times New Roman" w:cs="Times New Roman"/>
          <w:sz w:val="24"/>
          <w:szCs w:val="24"/>
        </w:rPr>
        <w:t>The purpose of this course is recognizing the students with spectral analysis methods, principles of operation of instruments and spectrometric characterization of the structure of organic compounds by spectral data.</w:t>
      </w:r>
    </w:p>
    <w:p w:rsidR="00B90F44" w:rsidRPr="00B90F44" w:rsidRDefault="00B90F44" w:rsidP="00B90F44">
      <w:pPr>
        <w:pStyle w:val="NoSpacing"/>
        <w:rPr>
          <w:i/>
        </w:rPr>
      </w:pPr>
      <w:r w:rsidRPr="00B90F44">
        <w:rPr>
          <w:b/>
        </w:rPr>
        <w:t xml:space="preserve">Learning outcomes: </w:t>
      </w:r>
      <w:r w:rsidRPr="00B90F44">
        <w:rPr>
          <w:rStyle w:val="hps"/>
          <w:i/>
          <w:lang/>
        </w:rPr>
        <w:t>After</w:t>
      </w:r>
      <w:r w:rsidRPr="00B90F44">
        <w:rPr>
          <w:i/>
          <w:lang/>
        </w:rPr>
        <w:t xml:space="preserve"> </w:t>
      </w:r>
      <w:r w:rsidRPr="00B90F44">
        <w:rPr>
          <w:rStyle w:val="hps"/>
          <w:i/>
          <w:lang/>
        </w:rPr>
        <w:t>completing this course</w:t>
      </w:r>
      <w:r w:rsidRPr="00B90F44">
        <w:rPr>
          <w:i/>
          <w:lang/>
        </w:rPr>
        <w:t xml:space="preserve"> </w:t>
      </w:r>
      <w:r w:rsidRPr="00B90F44">
        <w:rPr>
          <w:rStyle w:val="hps"/>
          <w:i/>
          <w:lang/>
        </w:rPr>
        <w:t>students will be</w:t>
      </w:r>
      <w:r w:rsidRPr="00B90F44">
        <w:rPr>
          <w:i/>
          <w:lang/>
        </w:rPr>
        <w:t xml:space="preserve"> </w:t>
      </w:r>
      <w:r w:rsidRPr="00B90F44">
        <w:rPr>
          <w:rStyle w:val="hps"/>
          <w:i/>
          <w:lang/>
        </w:rPr>
        <w:t>able to:</w:t>
      </w:r>
    </w:p>
    <w:p w:rsidR="00B90F44" w:rsidRPr="00B90F44" w:rsidRDefault="00B90F44" w:rsidP="00B90F44">
      <w:pPr>
        <w:pStyle w:val="ListParagraph"/>
        <w:numPr>
          <w:ilvl w:val="0"/>
          <w:numId w:val="8"/>
        </w:numPr>
        <w:spacing w:after="0" w:line="240" w:lineRule="auto"/>
        <w:ind w:left="252" w:hanging="252"/>
        <w:rPr>
          <w:rFonts w:ascii="Times New Roman" w:hAnsi="Times New Roman" w:cs="Times New Roman"/>
          <w:sz w:val="24"/>
          <w:szCs w:val="24"/>
        </w:rPr>
      </w:pPr>
      <w:r w:rsidRPr="00B90F44">
        <w:rPr>
          <w:rStyle w:val="hps"/>
          <w:rFonts w:ascii="Times New Roman" w:hAnsi="Times New Roman" w:cs="Times New Roman"/>
          <w:sz w:val="24"/>
          <w:szCs w:val="24"/>
        </w:rPr>
        <w:t>To recognize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properties of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interaction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of electromagnetic radiation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with matter</w:t>
      </w:r>
      <w:r w:rsidRPr="00B90F44">
        <w:rPr>
          <w:rFonts w:ascii="Times New Roman" w:hAnsi="Times New Roman" w:cs="Times New Roman"/>
          <w:sz w:val="24"/>
          <w:szCs w:val="24"/>
        </w:rPr>
        <w:t>.</w:t>
      </w:r>
    </w:p>
    <w:p w:rsidR="00B90F44" w:rsidRPr="00B90F44" w:rsidRDefault="00B90F44" w:rsidP="00B90F44">
      <w:pPr>
        <w:pStyle w:val="ListParagraph"/>
        <w:numPr>
          <w:ilvl w:val="0"/>
          <w:numId w:val="8"/>
        </w:numPr>
        <w:spacing w:after="0" w:line="240" w:lineRule="auto"/>
        <w:ind w:left="252" w:hanging="252"/>
        <w:rPr>
          <w:rFonts w:ascii="Times New Roman" w:hAnsi="Times New Roman" w:cs="Times New Roman"/>
          <w:sz w:val="24"/>
          <w:szCs w:val="24"/>
        </w:rPr>
      </w:pPr>
      <w:r w:rsidRPr="00B90F44">
        <w:rPr>
          <w:rStyle w:val="hps"/>
          <w:rFonts w:ascii="Times New Roman" w:hAnsi="Times New Roman" w:cs="Times New Roman"/>
          <w:sz w:val="24"/>
          <w:szCs w:val="24"/>
        </w:rPr>
        <w:t>To describe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the principle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of operation of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UV /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Vis, IR, NMR and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MS instruments</w:t>
      </w:r>
      <w:r w:rsidRPr="00B90F44">
        <w:rPr>
          <w:rFonts w:ascii="Times New Roman" w:hAnsi="Times New Roman" w:cs="Times New Roman"/>
          <w:sz w:val="24"/>
          <w:szCs w:val="24"/>
        </w:rPr>
        <w:t>.</w:t>
      </w:r>
    </w:p>
    <w:p w:rsidR="00B90F44" w:rsidRPr="00B90F44" w:rsidRDefault="00B90F44" w:rsidP="00B90F44">
      <w:pPr>
        <w:pStyle w:val="ListParagraph"/>
        <w:numPr>
          <w:ilvl w:val="0"/>
          <w:numId w:val="8"/>
        </w:numPr>
        <w:spacing w:after="0" w:line="240" w:lineRule="auto"/>
        <w:ind w:left="252" w:hanging="252"/>
        <w:rPr>
          <w:rFonts w:ascii="Times New Roman" w:hAnsi="Times New Roman" w:cs="Times New Roman"/>
          <w:sz w:val="24"/>
          <w:szCs w:val="24"/>
        </w:rPr>
      </w:pPr>
      <w:r w:rsidRPr="00B90F44">
        <w:rPr>
          <w:rStyle w:val="hps"/>
          <w:rFonts w:ascii="Times New Roman" w:hAnsi="Times New Roman" w:cs="Times New Roman"/>
          <w:sz w:val="24"/>
          <w:szCs w:val="24"/>
        </w:rPr>
        <w:t>To identify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peaks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for each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characteristic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absorption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spectrum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method</w:t>
      </w:r>
      <w:r w:rsidRPr="00B90F44">
        <w:rPr>
          <w:rFonts w:ascii="Times New Roman" w:hAnsi="Times New Roman" w:cs="Times New Roman"/>
          <w:sz w:val="24"/>
          <w:szCs w:val="24"/>
        </w:rPr>
        <w:t>.</w:t>
      </w:r>
    </w:p>
    <w:p w:rsidR="00B90F44" w:rsidRPr="00B90F44" w:rsidRDefault="00B90F44" w:rsidP="00B90F44">
      <w:pPr>
        <w:pStyle w:val="ListParagraph"/>
        <w:numPr>
          <w:ilvl w:val="0"/>
          <w:numId w:val="8"/>
        </w:numPr>
        <w:spacing w:after="0" w:line="240" w:lineRule="auto"/>
        <w:ind w:left="252" w:hanging="252"/>
        <w:rPr>
          <w:rFonts w:ascii="Times New Roman" w:hAnsi="Times New Roman" w:cs="Times New Roman"/>
          <w:sz w:val="24"/>
          <w:szCs w:val="24"/>
        </w:rPr>
      </w:pPr>
      <w:r w:rsidRPr="00B90F44">
        <w:rPr>
          <w:rStyle w:val="hps"/>
          <w:rFonts w:ascii="Times New Roman" w:hAnsi="Times New Roman" w:cs="Times New Roman"/>
          <w:sz w:val="24"/>
          <w:szCs w:val="24"/>
        </w:rPr>
        <w:t>To analyze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UV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/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Vis</w:t>
      </w:r>
      <w:r w:rsidRPr="00B90F44">
        <w:rPr>
          <w:rFonts w:ascii="Times New Roman" w:hAnsi="Times New Roman" w:cs="Times New Roman"/>
          <w:sz w:val="24"/>
          <w:szCs w:val="24"/>
        </w:rPr>
        <w:t xml:space="preserve">,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IR</w:t>
      </w:r>
      <w:r w:rsidRPr="00B90F44">
        <w:rPr>
          <w:rFonts w:ascii="Times New Roman" w:hAnsi="Times New Roman" w:cs="Times New Roman"/>
          <w:sz w:val="24"/>
          <w:szCs w:val="24"/>
        </w:rPr>
        <w:t xml:space="preserve">, </w:t>
      </w:r>
      <w:r w:rsidRPr="00B90F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0F44">
        <w:rPr>
          <w:rFonts w:ascii="Times New Roman" w:hAnsi="Times New Roman" w:cs="Times New Roman"/>
          <w:sz w:val="24"/>
          <w:szCs w:val="24"/>
        </w:rPr>
        <w:t>H-NMR</w:t>
      </w:r>
      <w:proofErr w:type="gramStart"/>
      <w:r w:rsidRPr="00B90F44">
        <w:rPr>
          <w:rFonts w:ascii="Times New Roman" w:hAnsi="Times New Roman" w:cs="Times New Roman"/>
          <w:sz w:val="24"/>
          <w:szCs w:val="24"/>
        </w:rPr>
        <w:t xml:space="preserve">,  </w:t>
      </w:r>
      <w:r w:rsidRPr="00B90F44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C</w:t>
      </w:r>
      <w:proofErr w:type="gramEnd"/>
      <w:r w:rsidRPr="00B90F44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B90F44">
        <w:rPr>
          <w:rFonts w:ascii="Times New Roman" w:hAnsi="Times New Roman" w:cs="Times New Roman"/>
          <w:sz w:val="24"/>
          <w:szCs w:val="24"/>
        </w:rPr>
        <w:t xml:space="preserve">NMR 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mass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spectra</w:t>
      </w:r>
      <w:r w:rsidRPr="00B90F44">
        <w:rPr>
          <w:rFonts w:ascii="Times New Roman" w:hAnsi="Times New Roman" w:cs="Times New Roman"/>
          <w:sz w:val="24"/>
          <w:szCs w:val="24"/>
        </w:rPr>
        <w:t>.</w:t>
      </w:r>
    </w:p>
    <w:p w:rsidR="00B90F44" w:rsidRPr="00B90F44" w:rsidRDefault="00B90F44" w:rsidP="00B90F44">
      <w:pPr>
        <w:pStyle w:val="ListParagraph"/>
        <w:numPr>
          <w:ilvl w:val="0"/>
          <w:numId w:val="8"/>
        </w:numPr>
        <w:spacing w:after="0" w:line="240" w:lineRule="auto"/>
        <w:ind w:left="252" w:hanging="252"/>
        <w:rPr>
          <w:rFonts w:ascii="Times New Roman" w:hAnsi="Times New Roman" w:cs="Times New Roman"/>
          <w:b/>
          <w:bCs/>
          <w:sz w:val="24"/>
          <w:szCs w:val="24"/>
        </w:rPr>
      </w:pPr>
      <w:r w:rsidRPr="00B90F44">
        <w:rPr>
          <w:rStyle w:val="hps"/>
          <w:rFonts w:ascii="Times New Roman" w:hAnsi="Times New Roman" w:cs="Times New Roman"/>
          <w:sz w:val="24"/>
          <w:szCs w:val="24"/>
        </w:rPr>
        <w:lastRenderedPageBreak/>
        <w:t>To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determine the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composition and structure of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organic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compounds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spectral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data</w:t>
      </w:r>
      <w:r w:rsidRPr="00B90F44">
        <w:rPr>
          <w:rFonts w:ascii="Times New Roman" w:hAnsi="Times New Roman" w:cs="Times New Roman"/>
          <w:sz w:val="24"/>
          <w:szCs w:val="24"/>
        </w:rPr>
        <w:t>.</w:t>
      </w:r>
    </w:p>
    <w:p w:rsidR="00B90F44" w:rsidRPr="00B90F44" w:rsidRDefault="00B90F44" w:rsidP="00B90F44">
      <w:pPr>
        <w:pStyle w:val="ListParagraph"/>
        <w:numPr>
          <w:ilvl w:val="0"/>
          <w:numId w:val="8"/>
        </w:numPr>
        <w:spacing w:after="0" w:line="240" w:lineRule="auto"/>
        <w:ind w:left="252" w:hanging="252"/>
        <w:rPr>
          <w:rFonts w:ascii="Times New Roman" w:hAnsi="Times New Roman" w:cs="Times New Roman"/>
          <w:b/>
          <w:bCs/>
          <w:sz w:val="24"/>
          <w:szCs w:val="24"/>
        </w:rPr>
      </w:pPr>
      <w:r w:rsidRPr="00B90F44">
        <w:rPr>
          <w:rStyle w:val="hps"/>
          <w:rFonts w:ascii="Times New Roman" w:hAnsi="Times New Roman" w:cs="Times New Roman"/>
          <w:sz w:val="24"/>
          <w:szCs w:val="24"/>
        </w:rPr>
        <w:t>Evaluate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the importance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of the methods of UV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/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Vis</w:t>
      </w:r>
      <w:r w:rsidRPr="00B90F44">
        <w:rPr>
          <w:rFonts w:ascii="Times New Roman" w:hAnsi="Times New Roman" w:cs="Times New Roman"/>
          <w:sz w:val="24"/>
          <w:szCs w:val="24"/>
        </w:rPr>
        <w:t xml:space="preserve">,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IR</w:t>
      </w:r>
      <w:r w:rsidRPr="00B90F44">
        <w:rPr>
          <w:rFonts w:ascii="Times New Roman" w:hAnsi="Times New Roman" w:cs="Times New Roman"/>
          <w:sz w:val="24"/>
          <w:szCs w:val="24"/>
        </w:rPr>
        <w:t xml:space="preserve">, </w:t>
      </w:r>
      <w:r w:rsidRPr="00B90F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0F44">
        <w:rPr>
          <w:rFonts w:ascii="Times New Roman" w:hAnsi="Times New Roman" w:cs="Times New Roman"/>
          <w:sz w:val="24"/>
          <w:szCs w:val="24"/>
        </w:rPr>
        <w:t>H-NMR</w:t>
      </w:r>
      <w:proofErr w:type="gramStart"/>
      <w:r w:rsidRPr="00B90F44">
        <w:rPr>
          <w:rFonts w:ascii="Times New Roman" w:hAnsi="Times New Roman" w:cs="Times New Roman"/>
          <w:sz w:val="24"/>
          <w:szCs w:val="24"/>
        </w:rPr>
        <w:t xml:space="preserve">,  </w:t>
      </w:r>
      <w:r w:rsidRPr="00B90F44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C</w:t>
      </w:r>
      <w:proofErr w:type="gramEnd"/>
      <w:r w:rsidRPr="00B90F44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B90F44">
        <w:rPr>
          <w:rFonts w:ascii="Times New Roman" w:hAnsi="Times New Roman" w:cs="Times New Roman"/>
          <w:sz w:val="24"/>
          <w:szCs w:val="24"/>
        </w:rPr>
        <w:t xml:space="preserve">NMR 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MS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spectroscopy</w:t>
      </w:r>
      <w:r w:rsidRPr="00B90F44">
        <w:rPr>
          <w:rFonts w:ascii="Times New Roman" w:hAnsi="Times New Roman" w:cs="Times New Roman"/>
          <w:sz w:val="24"/>
          <w:szCs w:val="24"/>
        </w:rPr>
        <w:t xml:space="preserve"> for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characterization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of the structure of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organic</w:t>
      </w:r>
      <w:r w:rsidRPr="00B90F44">
        <w:rPr>
          <w:rFonts w:ascii="Times New Roman" w:hAnsi="Times New Roman" w:cs="Times New Roman"/>
          <w:sz w:val="24"/>
          <w:szCs w:val="24"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</w:rPr>
        <w:t>compounds</w:t>
      </w:r>
      <w:r w:rsidRPr="00B90F44">
        <w:rPr>
          <w:rFonts w:ascii="Times New Roman" w:hAnsi="Times New Roman" w:cs="Times New Roman"/>
          <w:sz w:val="24"/>
          <w:szCs w:val="24"/>
        </w:rPr>
        <w:t>.</w:t>
      </w:r>
    </w:p>
    <w:p w:rsidR="00B90F44" w:rsidRPr="00B90F44" w:rsidRDefault="00B90F44" w:rsidP="00B90F44">
      <w:pPr>
        <w:pStyle w:val="ListParagraph"/>
        <w:numPr>
          <w:ilvl w:val="0"/>
          <w:numId w:val="8"/>
        </w:numPr>
        <w:spacing w:after="0" w:line="240" w:lineRule="auto"/>
        <w:ind w:left="252" w:hanging="252"/>
        <w:rPr>
          <w:rFonts w:ascii="Times New Roman" w:hAnsi="Times New Roman" w:cs="Times New Roman"/>
          <w:b/>
          <w:bCs/>
          <w:sz w:val="24"/>
          <w:szCs w:val="24"/>
        </w:rPr>
      </w:pP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Evaluate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the importance of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organic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compounds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for the needs of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hu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manity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their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biological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function and their impact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on the environment.</w:t>
      </w:r>
    </w:p>
    <w:p w:rsidR="00B90F44" w:rsidRPr="00B90F44" w:rsidRDefault="00B90F44" w:rsidP="00B90F44">
      <w:pPr>
        <w:pStyle w:val="ListParagraph"/>
        <w:numPr>
          <w:ilvl w:val="0"/>
          <w:numId w:val="8"/>
        </w:num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/>
        </w:rPr>
      </w:pPr>
      <w:r w:rsidRPr="00B90F44">
        <w:rPr>
          <w:rFonts w:ascii="Times New Roman" w:hAnsi="Times New Roman" w:cs="Times New Roman"/>
          <w:b/>
          <w:sz w:val="24"/>
          <w:szCs w:val="24"/>
        </w:rPr>
        <w:t xml:space="preserve">Teaching methodology: 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Lectures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with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interactive learning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, discussions, debates,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individual and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group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experimental exercises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term papers</w:t>
      </w:r>
    </w:p>
    <w:p w:rsidR="00B90F44" w:rsidRPr="00B90F44" w:rsidRDefault="00B90F44" w:rsidP="00B90F44">
      <w:pPr>
        <w:pStyle w:val="ListParagraph"/>
        <w:numPr>
          <w:ilvl w:val="0"/>
          <w:numId w:val="8"/>
        </w:num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/>
        </w:rPr>
      </w:pPr>
    </w:p>
    <w:p w:rsidR="00B90F44" w:rsidRPr="00B90F44" w:rsidRDefault="00B90F44" w:rsidP="00B90F4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F44">
        <w:rPr>
          <w:rFonts w:ascii="Times New Roman" w:hAnsi="Times New Roman" w:cs="Times New Roman"/>
          <w:b/>
          <w:sz w:val="24"/>
          <w:szCs w:val="24"/>
        </w:rPr>
        <w:t xml:space="preserve">Evaluation methods: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Student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evaluation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will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take into consideration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all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of the student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learning activities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, having in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consideration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all aspects of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measurable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assessment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of knowledge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skills and attitudes.</w:t>
      </w:r>
    </w:p>
    <w:p w:rsidR="00B90F44" w:rsidRPr="00B90F44" w:rsidRDefault="00B90F44" w:rsidP="00B90F4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•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Active participation in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lectures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:                  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10</w:t>
      </w:r>
      <w:r w:rsidRPr="00B90F44">
        <w:rPr>
          <w:rFonts w:ascii="Times New Roman" w:hAnsi="Times New Roman" w:cs="Times New Roman"/>
          <w:sz w:val="24"/>
          <w:szCs w:val="24"/>
          <w:lang/>
        </w:rPr>
        <w:t>%</w:t>
      </w:r>
      <w:r w:rsidRPr="00B90F44">
        <w:rPr>
          <w:rFonts w:ascii="Times New Roman" w:hAnsi="Times New Roman" w:cs="Times New Roman"/>
          <w:sz w:val="24"/>
          <w:szCs w:val="24"/>
          <w:lang/>
        </w:rPr>
        <w:br/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• Conduct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experimental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exercises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:                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25</w:t>
      </w:r>
      <w:r w:rsidRPr="00B90F44">
        <w:rPr>
          <w:rFonts w:ascii="Times New Roman" w:hAnsi="Times New Roman" w:cs="Times New Roman"/>
          <w:sz w:val="24"/>
          <w:szCs w:val="24"/>
          <w:lang/>
        </w:rPr>
        <w:t>%</w:t>
      </w:r>
      <w:r w:rsidRPr="00B90F44">
        <w:rPr>
          <w:rFonts w:ascii="Times New Roman" w:hAnsi="Times New Roman" w:cs="Times New Roman"/>
          <w:sz w:val="24"/>
          <w:szCs w:val="24"/>
          <w:lang/>
        </w:rPr>
        <w:br/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•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Intermediate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assessment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tests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:                  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10</w:t>
      </w:r>
      <w:r w:rsidRPr="00B90F44">
        <w:rPr>
          <w:rFonts w:ascii="Times New Roman" w:hAnsi="Times New Roman" w:cs="Times New Roman"/>
          <w:sz w:val="24"/>
          <w:szCs w:val="24"/>
          <w:lang/>
        </w:rPr>
        <w:t>%</w:t>
      </w:r>
      <w:r w:rsidRPr="00B90F44">
        <w:rPr>
          <w:rFonts w:ascii="Times New Roman" w:hAnsi="Times New Roman" w:cs="Times New Roman"/>
          <w:sz w:val="24"/>
          <w:szCs w:val="24"/>
          <w:lang/>
        </w:rPr>
        <w:br/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•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Work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seminar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(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student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reference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)             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15</w:t>
      </w:r>
      <w:r w:rsidRPr="00B90F44">
        <w:rPr>
          <w:rFonts w:ascii="Times New Roman" w:hAnsi="Times New Roman" w:cs="Times New Roman"/>
          <w:sz w:val="24"/>
          <w:szCs w:val="24"/>
          <w:lang/>
        </w:rPr>
        <w:t>%</w:t>
      </w:r>
      <w:r w:rsidRPr="00B90F44">
        <w:rPr>
          <w:rFonts w:ascii="Times New Roman" w:hAnsi="Times New Roman" w:cs="Times New Roman"/>
          <w:sz w:val="24"/>
          <w:szCs w:val="24"/>
          <w:lang/>
        </w:rPr>
        <w:br/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•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Final Exam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(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final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test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30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%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+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int</w:t>
      </w:r>
      <w:proofErr w:type="spellEnd"/>
      <w:r w:rsidRPr="00B90F44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10</w:t>
      </w:r>
      <w:r w:rsidRPr="00B90F44">
        <w:rPr>
          <w:rFonts w:ascii="Times New Roman" w:hAnsi="Times New Roman" w:cs="Times New Roman"/>
          <w:sz w:val="24"/>
          <w:szCs w:val="24"/>
          <w:lang/>
        </w:rPr>
        <w:t xml:space="preserve">%):       </w:t>
      </w:r>
      <w:r w:rsidRPr="00B90F44">
        <w:rPr>
          <w:rStyle w:val="hps"/>
          <w:rFonts w:ascii="Times New Roman" w:hAnsi="Times New Roman" w:cs="Times New Roman"/>
          <w:sz w:val="24"/>
          <w:szCs w:val="24"/>
          <w:lang/>
        </w:rPr>
        <w:t>40</w:t>
      </w:r>
      <w:r w:rsidRPr="00B90F44">
        <w:rPr>
          <w:rFonts w:ascii="Times New Roman" w:hAnsi="Times New Roman" w:cs="Times New Roman"/>
          <w:sz w:val="24"/>
          <w:szCs w:val="24"/>
          <w:lang/>
        </w:rPr>
        <w:t>%</w:t>
      </w:r>
    </w:p>
    <w:p w:rsidR="00B90F44" w:rsidRPr="00B90F44" w:rsidRDefault="00B90F44" w:rsidP="00B90F4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F44">
        <w:rPr>
          <w:rFonts w:ascii="Times New Roman" w:hAnsi="Times New Roman" w:cs="Times New Roman"/>
          <w:b/>
          <w:sz w:val="24"/>
          <w:szCs w:val="24"/>
          <w:lang w:val="it-IT"/>
        </w:rPr>
        <w:t>Total:</w:t>
      </w:r>
      <w:r w:rsidRPr="00B90F44"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                                                   100%</w:t>
      </w:r>
    </w:p>
    <w:p w:rsidR="00B90F44" w:rsidRPr="00B90F44" w:rsidRDefault="00B90F44" w:rsidP="00B90F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F44">
        <w:rPr>
          <w:rFonts w:ascii="Times New Roman" w:hAnsi="Times New Roman" w:cs="Times New Roman"/>
          <w:b/>
          <w:sz w:val="24"/>
          <w:szCs w:val="24"/>
        </w:rPr>
        <w:t>Concretization tools:</w:t>
      </w:r>
      <w:r w:rsidRPr="00B90F44">
        <w:rPr>
          <w:rFonts w:ascii="Times New Roman" w:hAnsi="Times New Roman" w:cs="Times New Roman"/>
          <w:sz w:val="24"/>
          <w:szCs w:val="24"/>
        </w:rPr>
        <w:t xml:space="preserve"> Computer, projector, tables, etc.</w:t>
      </w:r>
    </w:p>
    <w:p w:rsidR="00B90F44" w:rsidRPr="00B90F44" w:rsidRDefault="00B90F44" w:rsidP="00B90F44">
      <w:pPr>
        <w:pStyle w:val="ListParagraph"/>
        <w:numPr>
          <w:ilvl w:val="0"/>
          <w:numId w:val="8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90F44">
        <w:rPr>
          <w:rFonts w:ascii="Times New Roman" w:hAnsi="Times New Roman" w:cs="Times New Roman"/>
          <w:b/>
          <w:sz w:val="24"/>
          <w:szCs w:val="24"/>
        </w:rPr>
        <w:t xml:space="preserve">Relation between the theoretical and practical part of the study: </w:t>
      </w:r>
      <w:r w:rsidRPr="00B90F44">
        <w:rPr>
          <w:rFonts w:ascii="Times New Roman" w:hAnsi="Times New Roman" w:cs="Times New Roman"/>
          <w:sz w:val="24"/>
          <w:szCs w:val="24"/>
        </w:rPr>
        <w:t>The course will have 30 hours of theory and 30 hours of laboratory practice.</w:t>
      </w:r>
    </w:p>
    <w:p w:rsidR="00B90F44" w:rsidRPr="00B90F44" w:rsidRDefault="00B90F44" w:rsidP="00B90F4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19D1" w:rsidRPr="00B90F44" w:rsidRDefault="004219D1" w:rsidP="004219D1">
      <w:pPr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90F44">
        <w:rPr>
          <w:rFonts w:ascii="Times New Roman" w:hAnsi="Times New Roman" w:cs="Times New Roman"/>
          <w:b/>
          <w:sz w:val="24"/>
          <w:szCs w:val="24"/>
        </w:rPr>
        <w:t>Literature:</w:t>
      </w:r>
    </w:p>
    <w:p w:rsidR="004219D1" w:rsidRPr="00B90F44" w:rsidRDefault="004219D1" w:rsidP="00542C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0F44">
        <w:rPr>
          <w:rFonts w:ascii="Times New Roman" w:hAnsi="Times New Roman" w:cs="Times New Roman"/>
          <w:bCs/>
          <w:sz w:val="24"/>
          <w:szCs w:val="24"/>
        </w:rPr>
        <w:t xml:space="preserve">R. M. Silverstein, F. X. Webster, D. J. </w:t>
      </w:r>
      <w:proofErr w:type="spellStart"/>
      <w:r w:rsidRPr="00B90F44">
        <w:rPr>
          <w:rFonts w:ascii="Times New Roman" w:hAnsi="Times New Roman" w:cs="Times New Roman"/>
          <w:bCs/>
          <w:sz w:val="24"/>
          <w:szCs w:val="24"/>
        </w:rPr>
        <w:t>Kiemle</w:t>
      </w:r>
      <w:proofErr w:type="spellEnd"/>
      <w:r w:rsidRPr="00B90F4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0F44">
        <w:rPr>
          <w:rFonts w:ascii="Times New Roman" w:hAnsi="Times New Roman" w:cs="Times New Roman"/>
          <w:bCs/>
          <w:sz w:val="24"/>
          <w:szCs w:val="24"/>
        </w:rPr>
        <w:t>Spektrometric</w:t>
      </w:r>
      <w:proofErr w:type="spellEnd"/>
      <w:r w:rsidRPr="00B90F44">
        <w:rPr>
          <w:rFonts w:ascii="Times New Roman" w:hAnsi="Times New Roman" w:cs="Times New Roman"/>
          <w:bCs/>
          <w:sz w:val="24"/>
          <w:szCs w:val="24"/>
        </w:rPr>
        <w:t xml:space="preserve"> Identification of Organic Compounds, (</w:t>
      </w:r>
      <w:r w:rsidR="00655D0F" w:rsidRPr="00B90F44">
        <w:rPr>
          <w:rFonts w:ascii="Times New Roman" w:hAnsi="Times New Roman" w:cs="Times New Roman"/>
          <w:bCs/>
          <w:sz w:val="24"/>
          <w:szCs w:val="24"/>
        </w:rPr>
        <w:t>eigh</w:t>
      </w:r>
      <w:r w:rsidRPr="00B90F44">
        <w:rPr>
          <w:rFonts w:ascii="Times New Roman" w:hAnsi="Times New Roman" w:cs="Times New Roman"/>
          <w:bCs/>
          <w:sz w:val="24"/>
          <w:szCs w:val="24"/>
        </w:rPr>
        <w:t>th ed.), John Willey &amp; Sons Inc. New York, 20</w:t>
      </w:r>
      <w:r w:rsidR="00655D0F" w:rsidRPr="00B90F44">
        <w:rPr>
          <w:rFonts w:ascii="Times New Roman" w:hAnsi="Times New Roman" w:cs="Times New Roman"/>
          <w:bCs/>
          <w:sz w:val="24"/>
          <w:szCs w:val="24"/>
        </w:rPr>
        <w:t>1</w:t>
      </w:r>
      <w:r w:rsidRPr="00B90F44">
        <w:rPr>
          <w:rFonts w:ascii="Times New Roman" w:hAnsi="Times New Roman" w:cs="Times New Roman"/>
          <w:bCs/>
          <w:sz w:val="24"/>
          <w:szCs w:val="24"/>
        </w:rPr>
        <w:t>5.</w:t>
      </w:r>
    </w:p>
    <w:p w:rsidR="00E65888" w:rsidRPr="00B90F44" w:rsidRDefault="00E65888" w:rsidP="00542C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0F44">
        <w:rPr>
          <w:rFonts w:ascii="Times New Roman" w:hAnsi="Times New Roman" w:cs="Times New Roman"/>
          <w:bCs/>
          <w:sz w:val="24"/>
          <w:szCs w:val="24"/>
        </w:rPr>
        <w:t xml:space="preserve">Roger </w:t>
      </w:r>
      <w:proofErr w:type="spellStart"/>
      <w:r w:rsidRPr="00B90F44">
        <w:rPr>
          <w:rFonts w:ascii="Times New Roman" w:hAnsi="Times New Roman" w:cs="Times New Roman"/>
          <w:bCs/>
          <w:sz w:val="24"/>
          <w:szCs w:val="24"/>
        </w:rPr>
        <w:t>Linington</w:t>
      </w:r>
      <w:proofErr w:type="spellEnd"/>
      <w:r w:rsidRPr="00B90F44">
        <w:rPr>
          <w:rFonts w:ascii="Times New Roman" w:hAnsi="Times New Roman" w:cs="Times New Roman"/>
          <w:bCs/>
          <w:sz w:val="24"/>
          <w:szCs w:val="24"/>
        </w:rPr>
        <w:t>, Philip Williams, John MacMillan, Problems in Organic Structure Determination (A Practical Approach to NMR-</w:t>
      </w:r>
      <w:proofErr w:type="spellStart"/>
      <w:r w:rsidRPr="00B90F44">
        <w:rPr>
          <w:rFonts w:ascii="Times New Roman" w:hAnsi="Times New Roman" w:cs="Times New Roman"/>
          <w:bCs/>
          <w:sz w:val="24"/>
          <w:szCs w:val="24"/>
        </w:rPr>
        <w:t>Sprctroscopy</w:t>
      </w:r>
      <w:proofErr w:type="spellEnd"/>
      <w:r w:rsidRPr="00B90F44">
        <w:rPr>
          <w:rFonts w:ascii="Times New Roman" w:hAnsi="Times New Roman" w:cs="Times New Roman"/>
          <w:bCs/>
          <w:sz w:val="24"/>
          <w:szCs w:val="24"/>
        </w:rPr>
        <w:t xml:space="preserve">, CRC Pres, </w:t>
      </w:r>
      <w:proofErr w:type="spellStart"/>
      <w:r w:rsidRPr="00B90F44">
        <w:rPr>
          <w:rFonts w:ascii="Times New Roman" w:hAnsi="Times New Roman" w:cs="Times New Roman"/>
          <w:bCs/>
          <w:sz w:val="24"/>
          <w:szCs w:val="24"/>
        </w:rPr>
        <w:t>Taylor&amp;Francis</w:t>
      </w:r>
      <w:proofErr w:type="spellEnd"/>
      <w:r w:rsidRPr="00B90F44">
        <w:rPr>
          <w:rFonts w:ascii="Times New Roman" w:hAnsi="Times New Roman" w:cs="Times New Roman"/>
          <w:bCs/>
          <w:sz w:val="24"/>
          <w:szCs w:val="24"/>
        </w:rPr>
        <w:t xml:space="preserve"> Group, Boca Raton, London, New York, 2015.</w:t>
      </w:r>
    </w:p>
    <w:p w:rsidR="00542CD9" w:rsidRPr="00B90F44" w:rsidRDefault="00542CD9" w:rsidP="00542C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0F44">
        <w:rPr>
          <w:rFonts w:ascii="Times New Roman" w:hAnsi="Times New Roman" w:cs="Times New Roman"/>
          <w:bCs/>
          <w:sz w:val="24"/>
          <w:szCs w:val="24"/>
        </w:rPr>
        <w:t xml:space="preserve">J. </w:t>
      </w:r>
      <w:proofErr w:type="spellStart"/>
      <w:r w:rsidRPr="00B90F44">
        <w:rPr>
          <w:rFonts w:ascii="Times New Roman" w:hAnsi="Times New Roman" w:cs="Times New Roman"/>
          <w:bCs/>
          <w:sz w:val="24"/>
          <w:szCs w:val="24"/>
        </w:rPr>
        <w:t>Throck</w:t>
      </w:r>
      <w:proofErr w:type="spellEnd"/>
      <w:r w:rsidRPr="00B90F44">
        <w:rPr>
          <w:rFonts w:ascii="Times New Roman" w:hAnsi="Times New Roman" w:cs="Times New Roman"/>
          <w:bCs/>
          <w:sz w:val="24"/>
          <w:szCs w:val="24"/>
        </w:rPr>
        <w:t xml:space="preserve"> Watson, O. David Sparkman, Introduction to Mass Spectrometry (Instrumentation, Application and Strategies for Data Interpretation), (Fourth Ed.) Willey, 2013.</w:t>
      </w:r>
    </w:p>
    <w:p w:rsidR="00AB6E1B" w:rsidRPr="00B90F44" w:rsidRDefault="00AB6E1B" w:rsidP="00542C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Erno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Pretsch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Philipphe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Buhmann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, Martin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Badertscher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, Structure Determination of Organic Compounds (Tables of Spectral Data), (4</w:t>
      </w:r>
      <w:r w:rsidRPr="00B90F4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revised ed.), Springer </w:t>
      </w:r>
      <w:proofErr w:type="spellStart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>Verlag</w:t>
      </w:r>
      <w:proofErr w:type="spellEnd"/>
      <w:r w:rsidRPr="00B90F44">
        <w:rPr>
          <w:rFonts w:ascii="Times New Roman" w:eastAsia="Times New Roman" w:hAnsi="Times New Roman" w:cs="Times New Roman"/>
          <w:bCs/>
          <w:sz w:val="24"/>
          <w:szCs w:val="24"/>
        </w:rPr>
        <w:t xml:space="preserve"> Berlin Heidelberg, 2009</w:t>
      </w:r>
    </w:p>
    <w:p w:rsidR="004219D1" w:rsidRPr="00B90F44" w:rsidRDefault="004219D1" w:rsidP="00542C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B90F44" w:rsidRPr="00B90F44" w:rsidTr="00B854C2">
        <w:tc>
          <w:tcPr>
            <w:tcW w:w="8856" w:type="dxa"/>
            <w:gridSpan w:val="4"/>
            <w:shd w:val="clear" w:color="auto" w:fill="B8CCE4"/>
          </w:tcPr>
          <w:p w:rsidR="00B90F44" w:rsidRPr="00B90F44" w:rsidRDefault="00B90F44" w:rsidP="00B854C2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B90F44">
              <w:rPr>
                <w:b/>
              </w:rPr>
              <w:t>Contribution on student load (must correspond with learning outcomes)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B90F44" w:rsidRPr="00B90F44" w:rsidRDefault="00B90F44" w:rsidP="00B85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B90F44" w:rsidRPr="00B90F44" w:rsidRDefault="00B90F44" w:rsidP="00B85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B90F44" w:rsidRPr="00B90F44" w:rsidRDefault="00B90F44" w:rsidP="00B85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b/>
                <w:sz w:val="24"/>
                <w:szCs w:val="24"/>
              </w:rPr>
              <w:t>Days/week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B90F44" w:rsidRPr="00B90F44" w:rsidRDefault="00B90F44" w:rsidP="00B854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30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sz w:val="24"/>
                <w:szCs w:val="24"/>
              </w:rPr>
              <w:t>Exercise laboratory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30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sz w:val="24"/>
                <w:szCs w:val="24"/>
              </w:rPr>
              <w:t>Practice 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sz w:val="24"/>
                <w:szCs w:val="24"/>
              </w:rPr>
              <w:t>Contact with lecturer/consultations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sz w:val="24"/>
                <w:szCs w:val="24"/>
              </w:rPr>
              <w:t>Field exercises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sz w:val="24"/>
                <w:szCs w:val="24"/>
              </w:rPr>
              <w:t>Mid-terms, seminars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sz w:val="24"/>
                <w:szCs w:val="24"/>
              </w:rPr>
              <w:t>Homework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sz w:val="24"/>
                <w:szCs w:val="24"/>
              </w:rPr>
              <w:t>Individual time spent studying (at the library or home)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30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sz w:val="24"/>
                <w:szCs w:val="24"/>
              </w:rPr>
              <w:t>Final preparation for the exam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sz w:val="24"/>
                <w:szCs w:val="24"/>
              </w:rPr>
              <w:t>Time spent in evaluation (tests, final exam)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Projects, presentations, etc.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10</w:t>
            </w:r>
          </w:p>
        </w:tc>
      </w:tr>
      <w:tr w:rsidR="00B90F44" w:rsidRPr="00B90F44" w:rsidTr="00B854C2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B90F44" w:rsidRPr="00B90F44" w:rsidRDefault="00B90F44" w:rsidP="00B854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F4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B90F44" w:rsidRPr="00B90F44" w:rsidRDefault="00B90F44" w:rsidP="00B854C2">
            <w:pPr>
              <w:pStyle w:val="NoSpacing"/>
              <w:jc w:val="center"/>
              <w:rPr>
                <w:lang w:val="sq-AL"/>
              </w:rPr>
            </w:pPr>
            <w:r w:rsidRPr="00B90F44">
              <w:rPr>
                <w:lang w:val="sq-AL"/>
              </w:rPr>
              <w:t>150</w:t>
            </w:r>
          </w:p>
        </w:tc>
      </w:tr>
    </w:tbl>
    <w:p w:rsidR="00B90F44" w:rsidRPr="00B90F44" w:rsidRDefault="00B90F44" w:rsidP="00542CD9">
      <w:pPr>
        <w:rPr>
          <w:rFonts w:ascii="Times New Roman" w:hAnsi="Times New Roman" w:cs="Times New Roman"/>
          <w:sz w:val="24"/>
          <w:szCs w:val="24"/>
        </w:rPr>
      </w:pPr>
    </w:p>
    <w:sectPr w:rsidR="00B90F44" w:rsidRPr="00B90F44" w:rsidSect="00DA1873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D26"/>
    <w:multiLevelType w:val="hybridMultilevel"/>
    <w:tmpl w:val="D15A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EEE9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4FFF"/>
    <w:multiLevelType w:val="hybridMultilevel"/>
    <w:tmpl w:val="592A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57646"/>
    <w:multiLevelType w:val="hybridMultilevel"/>
    <w:tmpl w:val="70F86D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C44F1"/>
    <w:multiLevelType w:val="hybridMultilevel"/>
    <w:tmpl w:val="4E908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6FC0"/>
    <w:multiLevelType w:val="hybridMultilevel"/>
    <w:tmpl w:val="D15A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EEE9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C2B14"/>
    <w:multiLevelType w:val="hybridMultilevel"/>
    <w:tmpl w:val="FC9CA6AE"/>
    <w:lvl w:ilvl="0" w:tplc="135E7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04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66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EC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EA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8DE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06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07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1C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D687D"/>
    <w:multiLevelType w:val="hybridMultilevel"/>
    <w:tmpl w:val="D15A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EEE9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66EB9"/>
    <w:multiLevelType w:val="hybridMultilevel"/>
    <w:tmpl w:val="D15A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EEE96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19D1"/>
    <w:rsid w:val="00003278"/>
    <w:rsid w:val="002C1EBA"/>
    <w:rsid w:val="003A2AC3"/>
    <w:rsid w:val="004219D1"/>
    <w:rsid w:val="00502EBC"/>
    <w:rsid w:val="00542CD9"/>
    <w:rsid w:val="00655D0F"/>
    <w:rsid w:val="00940D72"/>
    <w:rsid w:val="00AB6E1B"/>
    <w:rsid w:val="00B90F44"/>
    <w:rsid w:val="00BC6CF8"/>
    <w:rsid w:val="00BF2788"/>
    <w:rsid w:val="00D123C2"/>
    <w:rsid w:val="00DA1873"/>
    <w:rsid w:val="00E65888"/>
    <w:rsid w:val="00E74421"/>
    <w:rsid w:val="00F5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2CD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90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B90F44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B90F44"/>
  </w:style>
  <w:style w:type="character" w:customStyle="1" w:styleId="atn">
    <w:name w:val="atn"/>
    <w:basedOn w:val="DefaultParagraphFont"/>
    <w:rsid w:val="00B90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DACI</cp:lastModifiedBy>
  <cp:revision>3</cp:revision>
  <dcterms:created xsi:type="dcterms:W3CDTF">2019-05-08T12:31:00Z</dcterms:created>
  <dcterms:modified xsi:type="dcterms:W3CDTF">2019-10-02T12:36:00Z</dcterms:modified>
</cp:coreProperties>
</file>