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09" w:rsidRPr="00CF116F" w:rsidRDefault="00F15509" w:rsidP="00F15509">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7"/>
        <w:gridCol w:w="1425"/>
        <w:gridCol w:w="1770"/>
        <w:gridCol w:w="2044"/>
      </w:tblGrid>
      <w:tr w:rsidR="00F15509" w:rsidRPr="00777D28" w:rsidTr="0030127E">
        <w:tc>
          <w:tcPr>
            <w:tcW w:w="8856" w:type="dxa"/>
            <w:gridSpan w:val="4"/>
            <w:shd w:val="clear" w:color="auto" w:fill="D9D9D9"/>
          </w:tcPr>
          <w:p w:rsidR="00F15509" w:rsidRPr="00777D28" w:rsidRDefault="00F15509" w:rsidP="0030127E">
            <w:pPr>
              <w:pStyle w:val="NoSpacing"/>
              <w:rPr>
                <w:rFonts w:ascii="Calibri" w:hAnsi="Calibri"/>
                <w:b/>
              </w:rPr>
            </w:pPr>
            <w:r w:rsidRPr="00777D28">
              <w:rPr>
                <w:rFonts w:ascii="Calibri" w:hAnsi="Calibri"/>
                <w:b/>
              </w:rPr>
              <w:t>Të dhëna bazike të lëndës</w:t>
            </w:r>
          </w:p>
        </w:tc>
      </w:tr>
      <w:tr w:rsidR="00F15509" w:rsidRPr="00777D28"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 xml:space="preserve">Njësia akademike: </w:t>
            </w:r>
          </w:p>
        </w:tc>
        <w:tc>
          <w:tcPr>
            <w:tcW w:w="5239" w:type="dxa"/>
            <w:gridSpan w:val="3"/>
          </w:tcPr>
          <w:p w:rsidR="00F15509" w:rsidRPr="00415DB0" w:rsidRDefault="00F15509" w:rsidP="0030127E">
            <w:pPr>
              <w:pStyle w:val="NoSpacing"/>
              <w:rPr>
                <w:szCs w:val="28"/>
              </w:rPr>
            </w:pPr>
            <w:r w:rsidRPr="00415DB0">
              <w:rPr>
                <w:szCs w:val="28"/>
              </w:rPr>
              <w:t>FSHMN: Departmenti i  Kimisë</w:t>
            </w:r>
          </w:p>
        </w:tc>
      </w:tr>
      <w:tr w:rsidR="00F15509" w:rsidRPr="00777D28"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Titulli i lëndës:</w:t>
            </w:r>
          </w:p>
        </w:tc>
        <w:tc>
          <w:tcPr>
            <w:tcW w:w="5239" w:type="dxa"/>
            <w:gridSpan w:val="3"/>
          </w:tcPr>
          <w:p w:rsidR="00F15509" w:rsidRPr="00415DB0" w:rsidRDefault="00F15509" w:rsidP="0030127E">
            <w:pPr>
              <w:jc w:val="both"/>
            </w:pPr>
            <w:r w:rsidRPr="00415DB0">
              <w:t>KIMI ORGANIKE II</w:t>
            </w:r>
          </w:p>
        </w:tc>
      </w:tr>
      <w:tr w:rsidR="00F15509" w:rsidRPr="00777D28"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Niveli:</w:t>
            </w:r>
          </w:p>
        </w:tc>
        <w:tc>
          <w:tcPr>
            <w:tcW w:w="5239" w:type="dxa"/>
            <w:gridSpan w:val="3"/>
          </w:tcPr>
          <w:p w:rsidR="00F15509" w:rsidRPr="00415DB0" w:rsidRDefault="00F15509" w:rsidP="0030127E">
            <w:pPr>
              <w:pStyle w:val="NoSpacing"/>
              <w:rPr>
                <w:szCs w:val="28"/>
              </w:rPr>
            </w:pPr>
            <w:r w:rsidRPr="00415DB0">
              <w:rPr>
                <w:szCs w:val="28"/>
              </w:rPr>
              <w:t>Bachelor</w:t>
            </w:r>
          </w:p>
        </w:tc>
      </w:tr>
      <w:tr w:rsidR="00F15509" w:rsidRPr="00777D28" w:rsidTr="0030127E">
        <w:tc>
          <w:tcPr>
            <w:tcW w:w="3617" w:type="dxa"/>
          </w:tcPr>
          <w:p w:rsidR="00F15509" w:rsidRPr="00777D28" w:rsidRDefault="00F15509" w:rsidP="0030127E">
            <w:pPr>
              <w:pStyle w:val="NoSpacing"/>
              <w:rPr>
                <w:rFonts w:ascii="Calibri" w:hAnsi="Calibri"/>
                <w:b/>
                <w:szCs w:val="28"/>
              </w:rPr>
            </w:pPr>
            <w:r>
              <w:rPr>
                <w:rFonts w:ascii="Calibri" w:hAnsi="Calibri"/>
                <w:b/>
                <w:szCs w:val="28"/>
              </w:rPr>
              <w:t>Statusi</w:t>
            </w:r>
            <w:r w:rsidRPr="00777D28">
              <w:rPr>
                <w:rFonts w:ascii="Calibri" w:hAnsi="Calibri"/>
                <w:b/>
                <w:szCs w:val="28"/>
              </w:rPr>
              <w:t xml:space="preserve"> </w:t>
            </w:r>
            <w:r>
              <w:rPr>
                <w:rFonts w:ascii="Calibri" w:hAnsi="Calibri"/>
                <w:b/>
                <w:szCs w:val="28"/>
              </w:rPr>
              <w:t>i l</w:t>
            </w:r>
            <w:r w:rsidRPr="00777D28">
              <w:rPr>
                <w:rFonts w:ascii="Calibri" w:hAnsi="Calibri"/>
                <w:b/>
                <w:szCs w:val="28"/>
              </w:rPr>
              <w:t>ë</w:t>
            </w:r>
            <w:r>
              <w:rPr>
                <w:rFonts w:ascii="Calibri" w:hAnsi="Calibri"/>
                <w:b/>
                <w:szCs w:val="28"/>
              </w:rPr>
              <w:t>nd</w:t>
            </w:r>
            <w:r w:rsidRPr="00777D28">
              <w:rPr>
                <w:rFonts w:ascii="Calibri" w:hAnsi="Calibri"/>
                <w:b/>
                <w:szCs w:val="28"/>
              </w:rPr>
              <w:t>ë</w:t>
            </w:r>
            <w:r>
              <w:rPr>
                <w:rFonts w:ascii="Calibri" w:hAnsi="Calibri"/>
                <w:b/>
                <w:szCs w:val="28"/>
              </w:rPr>
              <w:t>s:</w:t>
            </w:r>
          </w:p>
        </w:tc>
        <w:tc>
          <w:tcPr>
            <w:tcW w:w="5239" w:type="dxa"/>
            <w:gridSpan w:val="3"/>
          </w:tcPr>
          <w:p w:rsidR="00F15509" w:rsidRPr="00415DB0" w:rsidRDefault="00F15509" w:rsidP="0030127E">
            <w:pPr>
              <w:pStyle w:val="NoSpacing"/>
              <w:rPr>
                <w:szCs w:val="28"/>
              </w:rPr>
            </w:pPr>
            <w:r w:rsidRPr="00415DB0">
              <w:rPr>
                <w:szCs w:val="28"/>
              </w:rPr>
              <w:t>Obligative</w:t>
            </w:r>
          </w:p>
        </w:tc>
      </w:tr>
      <w:tr w:rsidR="00F15509" w:rsidRPr="007F4349"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Viti i studimeve:</w:t>
            </w:r>
          </w:p>
        </w:tc>
        <w:tc>
          <w:tcPr>
            <w:tcW w:w="5239" w:type="dxa"/>
            <w:gridSpan w:val="3"/>
          </w:tcPr>
          <w:p w:rsidR="00F15509" w:rsidRPr="00415DB0" w:rsidRDefault="00F15509" w:rsidP="0030127E">
            <w:pPr>
              <w:pStyle w:val="NoSpacing"/>
              <w:rPr>
                <w:szCs w:val="28"/>
                <w:lang w:val="it-IT"/>
              </w:rPr>
            </w:pPr>
            <w:r w:rsidRPr="00415DB0">
              <w:rPr>
                <w:szCs w:val="28"/>
                <w:lang w:val="it-IT"/>
              </w:rPr>
              <w:t>II-t</w:t>
            </w:r>
            <w:r w:rsidRPr="00415DB0">
              <w:rPr>
                <w:color w:val="000000"/>
                <w:lang w:val="it-IT"/>
              </w:rPr>
              <w:t>ë</w:t>
            </w:r>
            <w:r w:rsidRPr="00415DB0">
              <w:rPr>
                <w:szCs w:val="28"/>
                <w:lang w:val="it-IT"/>
              </w:rPr>
              <w:t>/semestri i IV-t</w:t>
            </w:r>
            <w:r w:rsidRPr="00415DB0">
              <w:rPr>
                <w:color w:val="000000"/>
                <w:lang w:val="it-IT"/>
              </w:rPr>
              <w:t>ë</w:t>
            </w:r>
          </w:p>
        </w:tc>
      </w:tr>
      <w:tr w:rsidR="00F15509" w:rsidRPr="00777D28" w:rsidTr="0030127E">
        <w:tc>
          <w:tcPr>
            <w:tcW w:w="3617" w:type="dxa"/>
          </w:tcPr>
          <w:p w:rsidR="00F15509" w:rsidRPr="007F4349" w:rsidRDefault="00F15509" w:rsidP="0030127E">
            <w:pPr>
              <w:pStyle w:val="NoSpacing"/>
              <w:rPr>
                <w:rFonts w:ascii="Calibri" w:hAnsi="Calibri"/>
                <w:b/>
                <w:szCs w:val="28"/>
                <w:lang w:val="it-IT"/>
              </w:rPr>
            </w:pPr>
            <w:r w:rsidRPr="007F4349">
              <w:rPr>
                <w:rFonts w:ascii="Calibri" w:hAnsi="Calibri"/>
                <w:b/>
                <w:szCs w:val="28"/>
                <w:lang w:val="it-IT"/>
              </w:rPr>
              <w:t>Numri i orëve në javë:</w:t>
            </w:r>
          </w:p>
        </w:tc>
        <w:tc>
          <w:tcPr>
            <w:tcW w:w="5239" w:type="dxa"/>
            <w:gridSpan w:val="3"/>
          </w:tcPr>
          <w:p w:rsidR="00F15509" w:rsidRPr="00415DB0" w:rsidRDefault="00F15509" w:rsidP="0030127E">
            <w:pPr>
              <w:pStyle w:val="NoSpacing"/>
              <w:rPr>
                <w:szCs w:val="28"/>
              </w:rPr>
            </w:pPr>
            <w:r w:rsidRPr="00415DB0">
              <w:rPr>
                <w:szCs w:val="28"/>
              </w:rPr>
              <w:t>3</w:t>
            </w:r>
            <w:r w:rsidR="002F3525">
              <w:rPr>
                <w:szCs w:val="28"/>
              </w:rPr>
              <w:t>+2</w:t>
            </w:r>
          </w:p>
        </w:tc>
      </w:tr>
      <w:tr w:rsidR="00F15509" w:rsidRPr="00777D28"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Vlera në kredi – ECTS:</w:t>
            </w:r>
          </w:p>
        </w:tc>
        <w:tc>
          <w:tcPr>
            <w:tcW w:w="5239" w:type="dxa"/>
            <w:gridSpan w:val="3"/>
          </w:tcPr>
          <w:p w:rsidR="00F15509" w:rsidRPr="00415DB0" w:rsidRDefault="002F3525" w:rsidP="0030127E">
            <w:pPr>
              <w:pStyle w:val="NoSpacing"/>
              <w:rPr>
                <w:szCs w:val="28"/>
              </w:rPr>
            </w:pPr>
            <w:r>
              <w:rPr>
                <w:szCs w:val="28"/>
              </w:rPr>
              <w:t>6</w:t>
            </w:r>
          </w:p>
        </w:tc>
      </w:tr>
      <w:tr w:rsidR="00F15509" w:rsidRPr="00777D28"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Koha / lokacioni:</w:t>
            </w:r>
          </w:p>
        </w:tc>
        <w:tc>
          <w:tcPr>
            <w:tcW w:w="5239" w:type="dxa"/>
            <w:gridSpan w:val="3"/>
          </w:tcPr>
          <w:p w:rsidR="00F15509" w:rsidRPr="00415DB0" w:rsidRDefault="00415DB0" w:rsidP="0030127E">
            <w:r w:rsidRPr="00415DB0">
              <w:rPr>
                <w:szCs w:val="28"/>
              </w:rPr>
              <w:t xml:space="preserve">E Martë </w:t>
            </w:r>
            <w:r w:rsidRPr="00415DB0">
              <w:rPr>
                <w:rFonts w:ascii="Calibri" w:hAnsi="Calibri"/>
              </w:rPr>
              <w:t>09</w:t>
            </w:r>
            <w:r w:rsidRPr="00415DB0">
              <w:rPr>
                <w:rFonts w:ascii="Calibri" w:hAnsi="Calibri"/>
                <w:vertAlign w:val="superscript"/>
              </w:rPr>
              <w:t>00</w:t>
            </w:r>
            <w:r w:rsidRPr="00415DB0">
              <w:rPr>
                <w:rFonts w:ascii="Calibri" w:hAnsi="Calibri"/>
              </w:rPr>
              <w:t>-11</w:t>
            </w:r>
            <w:r w:rsidRPr="00415DB0">
              <w:rPr>
                <w:rFonts w:ascii="Calibri" w:hAnsi="Calibri"/>
                <w:vertAlign w:val="superscript"/>
              </w:rPr>
              <w:t>15</w:t>
            </w:r>
            <w:r w:rsidRPr="00415DB0">
              <w:rPr>
                <w:szCs w:val="28"/>
              </w:rPr>
              <w:t>, Amfiteatër</w:t>
            </w:r>
          </w:p>
        </w:tc>
      </w:tr>
      <w:tr w:rsidR="00F15509" w:rsidRPr="00777D28"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Mësimëdhënësi i lëndës:</w:t>
            </w:r>
          </w:p>
        </w:tc>
        <w:tc>
          <w:tcPr>
            <w:tcW w:w="5239" w:type="dxa"/>
            <w:gridSpan w:val="3"/>
          </w:tcPr>
          <w:p w:rsidR="00F15509" w:rsidRPr="00415DB0" w:rsidRDefault="002F3525" w:rsidP="0030127E">
            <w:pPr>
              <w:pStyle w:val="NoSpacing"/>
              <w:rPr>
                <w:szCs w:val="28"/>
              </w:rPr>
            </w:pPr>
            <w:r>
              <w:rPr>
                <w:szCs w:val="28"/>
              </w:rPr>
              <w:t>MAJLINDA DACI</w:t>
            </w:r>
            <w:r w:rsidR="00F15509" w:rsidRPr="00415DB0">
              <w:rPr>
                <w:szCs w:val="28"/>
              </w:rPr>
              <w:t xml:space="preserve"> AJVAZI</w:t>
            </w:r>
          </w:p>
        </w:tc>
      </w:tr>
      <w:tr w:rsidR="00F15509" w:rsidRPr="00777D28" w:rsidTr="0030127E">
        <w:tc>
          <w:tcPr>
            <w:tcW w:w="3617" w:type="dxa"/>
          </w:tcPr>
          <w:p w:rsidR="00F15509" w:rsidRPr="00777D28" w:rsidRDefault="00F15509" w:rsidP="0030127E">
            <w:pPr>
              <w:pStyle w:val="NoSpacing"/>
              <w:rPr>
                <w:rFonts w:ascii="Calibri" w:hAnsi="Calibri"/>
                <w:b/>
                <w:szCs w:val="28"/>
              </w:rPr>
            </w:pPr>
            <w:r w:rsidRPr="00777D28">
              <w:rPr>
                <w:rFonts w:ascii="Calibri" w:hAnsi="Calibri"/>
                <w:b/>
                <w:szCs w:val="28"/>
              </w:rPr>
              <w:t xml:space="preserve">Detajet kontaktuese: </w:t>
            </w:r>
          </w:p>
        </w:tc>
        <w:tc>
          <w:tcPr>
            <w:tcW w:w="5239" w:type="dxa"/>
            <w:gridSpan w:val="3"/>
          </w:tcPr>
          <w:p w:rsidR="00F15509" w:rsidRPr="00415DB0" w:rsidRDefault="0001739A" w:rsidP="00415DB0">
            <w:pPr>
              <w:pStyle w:val="NoSpacing"/>
              <w:rPr>
                <w:szCs w:val="28"/>
              </w:rPr>
            </w:pPr>
            <w:hyperlink r:id="rId7" w:history="1">
              <w:r w:rsidR="00F15509" w:rsidRPr="00415DB0">
                <w:rPr>
                  <w:rStyle w:val="Hyperlink"/>
                  <w:szCs w:val="28"/>
                </w:rPr>
                <w:t>majlinda.ajvazi@uni-pr.edu</w:t>
              </w:r>
            </w:hyperlink>
            <w:r w:rsidR="00F15509" w:rsidRPr="00415DB0">
              <w:rPr>
                <w:szCs w:val="28"/>
              </w:rPr>
              <w:t xml:space="preserve">, </w:t>
            </w:r>
          </w:p>
        </w:tc>
      </w:tr>
      <w:tr w:rsidR="00F15509" w:rsidRPr="00777D28" w:rsidTr="0030127E">
        <w:tc>
          <w:tcPr>
            <w:tcW w:w="8856" w:type="dxa"/>
            <w:gridSpan w:val="4"/>
            <w:shd w:val="clear" w:color="auto" w:fill="D9D9D9"/>
          </w:tcPr>
          <w:p w:rsidR="00F15509" w:rsidRPr="00777D28" w:rsidRDefault="00F15509" w:rsidP="0030127E">
            <w:pPr>
              <w:pStyle w:val="NoSpacing"/>
              <w:rPr>
                <w:rFonts w:ascii="Calibri" w:hAnsi="Calibri"/>
              </w:rPr>
            </w:pPr>
          </w:p>
        </w:tc>
      </w:tr>
      <w:tr w:rsidR="00F15509" w:rsidRPr="00193B66" w:rsidTr="0030127E">
        <w:tc>
          <w:tcPr>
            <w:tcW w:w="3617" w:type="dxa"/>
          </w:tcPr>
          <w:p w:rsidR="00F15509" w:rsidRPr="00193B66" w:rsidRDefault="00F15509" w:rsidP="0030127E">
            <w:pPr>
              <w:pStyle w:val="NoSpacing"/>
              <w:rPr>
                <w:rFonts w:ascii="Calibri" w:hAnsi="Calibri"/>
                <w:b/>
                <w:sz w:val="22"/>
                <w:szCs w:val="22"/>
              </w:rPr>
            </w:pPr>
            <w:r w:rsidRPr="00193B66">
              <w:rPr>
                <w:rFonts w:ascii="Calibri" w:hAnsi="Calibri"/>
                <w:b/>
                <w:sz w:val="22"/>
                <w:szCs w:val="22"/>
              </w:rPr>
              <w:t>Përshkrimi i lëndës</w:t>
            </w:r>
          </w:p>
        </w:tc>
        <w:tc>
          <w:tcPr>
            <w:tcW w:w="5239" w:type="dxa"/>
            <w:gridSpan w:val="3"/>
          </w:tcPr>
          <w:p w:rsidR="00F15509" w:rsidRPr="00750C1E" w:rsidRDefault="00F15509" w:rsidP="0030127E">
            <w:pPr>
              <w:jc w:val="both"/>
            </w:pPr>
            <w:r w:rsidRPr="00750C1E">
              <w:rPr>
                <w:sz w:val="22"/>
                <w:szCs w:val="22"/>
                <w:lang w:val="sq-AL"/>
              </w:rPr>
              <w:t>Kjo lëndë do t’u  mundësojë studentëve që të vazhdojnë t’i zgjerojnë njohuritë e tyre për</w:t>
            </w:r>
            <w:r w:rsidRPr="00750C1E">
              <w:rPr>
                <w:sz w:val="22"/>
                <w:szCs w:val="22"/>
              </w:rPr>
              <w:t xml:space="preserve"> alkoolet dhe tiolet (struktura, përftimi dhe reaksionet), eteret dhe epoksidet (struktura, përftimi dhe reaksionet), aldehidet dhe ketonet (struktura, përftimi dhe reaksionet), acidet karboksilike (struktura, përftimi dhe reaksionet), derivatet e acideve karboksilike (struktura, përftimi dhe reaksionet), aminat (struktura, përftimi dhe reaksionet), fenolet (struktura, përftimi dhe reaksionet), halogjenuret e arilevet (struktura, përftimi dhe reaksionet), komponimet aromatike polinukleare (struktura, përftimi dhe reaksionet), komponimet heterociklike (struktura, përftimi dhe reaksionet), lipidet (acidet yndyrore dhe trigliceridet, sapunet dhe deterxhentet, fosfolipidet, dyllrat), karbohidratet (klasifikimi, stereokimia, reaksionet, disakaridet, polisakaridet), aminoacidet dhe proteinet (struktura, reaksionet, peptidet, struktura e proteineve) dhe acidet nukleike.</w:t>
            </w:r>
          </w:p>
        </w:tc>
      </w:tr>
      <w:tr w:rsidR="00F15509" w:rsidRPr="00193B66" w:rsidTr="0030127E">
        <w:tc>
          <w:tcPr>
            <w:tcW w:w="3617" w:type="dxa"/>
          </w:tcPr>
          <w:p w:rsidR="00F15509" w:rsidRPr="00193B66" w:rsidRDefault="00F15509" w:rsidP="0030127E">
            <w:pPr>
              <w:pStyle w:val="NoSpacing"/>
              <w:rPr>
                <w:rFonts w:ascii="Calibri" w:hAnsi="Calibri"/>
                <w:b/>
                <w:sz w:val="22"/>
                <w:szCs w:val="22"/>
              </w:rPr>
            </w:pPr>
            <w:r w:rsidRPr="00193B66">
              <w:rPr>
                <w:rFonts w:ascii="Calibri" w:hAnsi="Calibri"/>
                <w:b/>
                <w:sz w:val="22"/>
                <w:szCs w:val="22"/>
              </w:rPr>
              <w:t>Qëllimet e lëndës:</w:t>
            </w:r>
          </w:p>
        </w:tc>
        <w:tc>
          <w:tcPr>
            <w:tcW w:w="5239" w:type="dxa"/>
            <w:gridSpan w:val="3"/>
          </w:tcPr>
          <w:p w:rsidR="00F15509" w:rsidRPr="00750C1E" w:rsidRDefault="00F15509" w:rsidP="0030127E">
            <w:pPr>
              <w:jc w:val="both"/>
              <w:rPr>
                <w:lang w:val="sq-AL"/>
              </w:rPr>
            </w:pPr>
            <w:r w:rsidRPr="00750C1E">
              <w:rPr>
                <w:sz w:val="22"/>
                <w:szCs w:val="22"/>
              </w:rPr>
              <w:t>që s</w:t>
            </w:r>
            <w:r w:rsidRPr="00750C1E">
              <w:rPr>
                <w:sz w:val="22"/>
                <w:szCs w:val="22"/>
                <w:lang w:val="sq-AL"/>
              </w:rPr>
              <w:t>tudenti të:</w:t>
            </w:r>
          </w:p>
          <w:p w:rsidR="00F15509" w:rsidRPr="00750C1E" w:rsidRDefault="00F15509" w:rsidP="0030127E">
            <w:pPr>
              <w:pStyle w:val="NoSpacing"/>
              <w:numPr>
                <w:ilvl w:val="0"/>
                <w:numId w:val="1"/>
              </w:numPr>
              <w:rPr>
                <w:sz w:val="22"/>
                <w:szCs w:val="22"/>
                <w:lang w:val="sq-AL"/>
              </w:rPr>
            </w:pPr>
            <w:r w:rsidRPr="00750C1E">
              <w:rPr>
                <w:sz w:val="22"/>
                <w:szCs w:val="22"/>
              </w:rPr>
              <w:t>Dijë ti dalloj grupet funksionale të klasëve të ndryshme të komponimeve organike.</w:t>
            </w:r>
          </w:p>
          <w:p w:rsidR="00F15509" w:rsidRPr="00750C1E" w:rsidRDefault="00F15509" w:rsidP="0030127E">
            <w:pPr>
              <w:pStyle w:val="NoSpacing"/>
              <w:numPr>
                <w:ilvl w:val="0"/>
                <w:numId w:val="1"/>
              </w:numPr>
              <w:rPr>
                <w:sz w:val="22"/>
                <w:szCs w:val="22"/>
                <w:lang w:val="sq-AL"/>
              </w:rPr>
            </w:pPr>
            <w:r w:rsidRPr="00750C1E">
              <w:rPr>
                <w:sz w:val="22"/>
                <w:szCs w:val="22"/>
              </w:rPr>
              <w:t>Kuptoj rëndësinë e grupeve si: karbonil, karboksil, hidroksil, amin, etj.</w:t>
            </w:r>
          </w:p>
          <w:p w:rsidR="00F15509" w:rsidRPr="00750C1E" w:rsidRDefault="00F15509" w:rsidP="0030127E">
            <w:pPr>
              <w:pStyle w:val="NoSpacing"/>
              <w:numPr>
                <w:ilvl w:val="0"/>
                <w:numId w:val="1"/>
              </w:numPr>
              <w:rPr>
                <w:sz w:val="22"/>
                <w:szCs w:val="22"/>
                <w:lang w:val="sq-AL"/>
              </w:rPr>
            </w:pPr>
            <w:r w:rsidRPr="00750C1E">
              <w:rPr>
                <w:sz w:val="22"/>
                <w:szCs w:val="22"/>
              </w:rPr>
              <w:t>Përcaktoj nomenklaturën e klasëve të ndryshme të komponimeve organike.</w:t>
            </w:r>
          </w:p>
          <w:p w:rsidR="00F15509" w:rsidRPr="00750C1E" w:rsidRDefault="00F15509" w:rsidP="0030127E">
            <w:pPr>
              <w:pStyle w:val="NoSpacing"/>
              <w:numPr>
                <w:ilvl w:val="0"/>
                <w:numId w:val="1"/>
              </w:numPr>
              <w:rPr>
                <w:sz w:val="22"/>
                <w:szCs w:val="22"/>
                <w:lang w:val="sq-AL"/>
              </w:rPr>
            </w:pPr>
            <w:r w:rsidRPr="00750C1E">
              <w:rPr>
                <w:sz w:val="22"/>
                <w:szCs w:val="22"/>
              </w:rPr>
              <w:t>Vlerësoj si dhe në çfarë kushte mund të përftoj ndonjë alkool, acid karboksilik, aminë, fenol, komponim heterociklik, etj.</w:t>
            </w:r>
          </w:p>
          <w:p w:rsidR="00F15509" w:rsidRPr="00750C1E" w:rsidRDefault="00F15509" w:rsidP="0030127E">
            <w:pPr>
              <w:pStyle w:val="NoSpacing"/>
              <w:numPr>
                <w:ilvl w:val="0"/>
                <w:numId w:val="1"/>
              </w:numPr>
              <w:rPr>
                <w:sz w:val="22"/>
                <w:szCs w:val="22"/>
                <w:lang w:val="sq-AL"/>
              </w:rPr>
            </w:pPr>
            <w:r w:rsidRPr="00750C1E">
              <w:rPr>
                <w:sz w:val="22"/>
                <w:szCs w:val="22"/>
              </w:rPr>
              <w:t>Merr njohuri themelore për biomolekulet.</w:t>
            </w:r>
          </w:p>
          <w:p w:rsidR="00F15509" w:rsidRPr="00750C1E" w:rsidRDefault="00F15509" w:rsidP="0030127E">
            <w:pPr>
              <w:pStyle w:val="NoSpacing"/>
              <w:numPr>
                <w:ilvl w:val="0"/>
                <w:numId w:val="1"/>
              </w:numPr>
              <w:rPr>
                <w:sz w:val="22"/>
                <w:szCs w:val="22"/>
                <w:lang w:val="sq-AL"/>
              </w:rPr>
            </w:pPr>
            <w:r w:rsidRPr="00750C1E">
              <w:rPr>
                <w:sz w:val="22"/>
                <w:szCs w:val="22"/>
              </w:rPr>
              <w:t xml:space="preserve">Njihet me rëndësinë e proteineve, lipideve, amino acideve, acideve nukleike, etj. </w:t>
            </w:r>
          </w:p>
        </w:tc>
      </w:tr>
      <w:tr w:rsidR="00F15509" w:rsidRPr="00193B66" w:rsidTr="0030127E">
        <w:tc>
          <w:tcPr>
            <w:tcW w:w="3617" w:type="dxa"/>
          </w:tcPr>
          <w:p w:rsidR="00F15509" w:rsidRPr="00193B66" w:rsidRDefault="00F15509" w:rsidP="0030127E">
            <w:pPr>
              <w:pStyle w:val="NoSpacing"/>
              <w:rPr>
                <w:rFonts w:ascii="Calibri" w:hAnsi="Calibri"/>
                <w:b/>
                <w:sz w:val="22"/>
                <w:szCs w:val="22"/>
              </w:rPr>
            </w:pPr>
            <w:r w:rsidRPr="00193B66">
              <w:rPr>
                <w:rFonts w:ascii="Calibri" w:hAnsi="Calibri"/>
                <w:b/>
                <w:sz w:val="22"/>
                <w:szCs w:val="22"/>
              </w:rPr>
              <w:t>Rezultatet e pritura të nxënies:</w:t>
            </w:r>
          </w:p>
        </w:tc>
        <w:tc>
          <w:tcPr>
            <w:tcW w:w="5239" w:type="dxa"/>
            <w:gridSpan w:val="3"/>
          </w:tcPr>
          <w:p w:rsidR="00F15509" w:rsidRPr="00750C1E" w:rsidRDefault="00F15509" w:rsidP="0030127E">
            <w:pPr>
              <w:jc w:val="both"/>
              <w:rPr>
                <w:lang w:val="sq-AL"/>
              </w:rPr>
            </w:pPr>
            <w:r w:rsidRPr="00750C1E">
              <w:rPr>
                <w:sz w:val="22"/>
                <w:szCs w:val="22"/>
                <w:lang w:val="sq-AL"/>
              </w:rPr>
              <w:t>Pas përfundimit të kursit studenti do të jetë në gjendje që të:</w:t>
            </w:r>
          </w:p>
          <w:p w:rsidR="00F15509" w:rsidRPr="00750C1E" w:rsidRDefault="00F15509" w:rsidP="0030127E">
            <w:pPr>
              <w:pStyle w:val="NoSpacing"/>
              <w:numPr>
                <w:ilvl w:val="0"/>
                <w:numId w:val="2"/>
              </w:numPr>
              <w:rPr>
                <w:rFonts w:eastAsia="Calibri"/>
                <w:sz w:val="22"/>
                <w:szCs w:val="22"/>
                <w:lang w:val="it-IT"/>
              </w:rPr>
            </w:pPr>
            <w:r w:rsidRPr="00750C1E">
              <w:rPr>
                <w:rFonts w:eastAsia="Calibri"/>
                <w:sz w:val="22"/>
                <w:szCs w:val="22"/>
                <w:lang w:val="it-IT"/>
              </w:rPr>
              <w:t>Përshkruan strukturën e klasëve të ndryshme të komponimeve organike.</w:t>
            </w:r>
          </w:p>
          <w:p w:rsidR="00F15509" w:rsidRPr="00750C1E" w:rsidRDefault="00F15509" w:rsidP="0030127E">
            <w:pPr>
              <w:pStyle w:val="NoSpacing"/>
              <w:numPr>
                <w:ilvl w:val="0"/>
                <w:numId w:val="2"/>
              </w:numPr>
              <w:rPr>
                <w:rFonts w:eastAsia="Calibri"/>
                <w:sz w:val="22"/>
                <w:szCs w:val="22"/>
                <w:lang w:val="it-IT"/>
              </w:rPr>
            </w:pPr>
            <w:r w:rsidRPr="00750C1E">
              <w:rPr>
                <w:rFonts w:eastAsia="Calibri"/>
                <w:sz w:val="22"/>
                <w:szCs w:val="22"/>
                <w:lang w:val="it-IT"/>
              </w:rPr>
              <w:lastRenderedPageBreak/>
              <w:t>Ndërlidh njohuritë e fituara në të dy kurset e Kimisë Organike.</w:t>
            </w:r>
          </w:p>
          <w:p w:rsidR="00F15509" w:rsidRPr="00750C1E" w:rsidRDefault="00F15509" w:rsidP="0030127E">
            <w:pPr>
              <w:pStyle w:val="NoSpacing"/>
              <w:numPr>
                <w:ilvl w:val="0"/>
                <w:numId w:val="2"/>
              </w:numPr>
              <w:rPr>
                <w:rFonts w:eastAsia="Calibri"/>
                <w:sz w:val="22"/>
                <w:szCs w:val="22"/>
                <w:lang w:val="it-IT"/>
              </w:rPr>
            </w:pPr>
            <w:r w:rsidRPr="00750C1E">
              <w:rPr>
                <w:rFonts w:eastAsia="Calibri"/>
                <w:sz w:val="22"/>
                <w:szCs w:val="22"/>
                <w:lang w:val="it-IT"/>
              </w:rPr>
              <w:t>Tregon rëndësinë e grupeve funksionale si: karbonil, karboksil, hidroksil, amino,etj.</w:t>
            </w:r>
          </w:p>
          <w:p w:rsidR="00F15509" w:rsidRPr="00750C1E" w:rsidRDefault="00F15509" w:rsidP="0030127E">
            <w:pPr>
              <w:pStyle w:val="NoSpacing"/>
              <w:numPr>
                <w:ilvl w:val="0"/>
                <w:numId w:val="2"/>
              </w:numPr>
              <w:rPr>
                <w:rFonts w:eastAsia="Calibri"/>
                <w:sz w:val="22"/>
                <w:szCs w:val="22"/>
                <w:lang w:val="it-IT"/>
              </w:rPr>
            </w:pPr>
            <w:r w:rsidRPr="00750C1E">
              <w:rPr>
                <w:rFonts w:eastAsia="Calibri"/>
                <w:sz w:val="22"/>
                <w:szCs w:val="22"/>
                <w:lang w:val="it-IT"/>
              </w:rPr>
              <w:t>Analizon kushtet për përftimin e një alkooli, acidi karboksilik, amine, fenoli, komponimi heterociklik, etj.</w:t>
            </w:r>
          </w:p>
          <w:p w:rsidR="00F15509" w:rsidRPr="00750C1E" w:rsidRDefault="00F15509" w:rsidP="0030127E">
            <w:pPr>
              <w:pStyle w:val="NoSpacing"/>
              <w:numPr>
                <w:ilvl w:val="0"/>
                <w:numId w:val="2"/>
              </w:numPr>
              <w:rPr>
                <w:rFonts w:eastAsia="Calibri"/>
                <w:sz w:val="22"/>
                <w:szCs w:val="22"/>
                <w:lang w:val="it-IT"/>
              </w:rPr>
            </w:pPr>
            <w:r w:rsidRPr="00750C1E">
              <w:rPr>
                <w:rFonts w:eastAsia="Calibri"/>
                <w:sz w:val="22"/>
                <w:szCs w:val="22"/>
                <w:lang w:val="it-IT"/>
              </w:rPr>
              <w:t>Kategorizon biomolekulet sipas funksionit të tyre.</w:t>
            </w:r>
          </w:p>
          <w:p w:rsidR="00F15509" w:rsidRPr="00750C1E" w:rsidRDefault="00F15509" w:rsidP="0030127E">
            <w:pPr>
              <w:pStyle w:val="NoSpacing"/>
              <w:numPr>
                <w:ilvl w:val="0"/>
                <w:numId w:val="2"/>
              </w:numPr>
              <w:rPr>
                <w:rFonts w:eastAsia="Calibri"/>
                <w:sz w:val="22"/>
                <w:szCs w:val="22"/>
                <w:lang w:val="it-IT"/>
              </w:rPr>
            </w:pPr>
            <w:r w:rsidRPr="00750C1E">
              <w:rPr>
                <w:sz w:val="22"/>
                <w:szCs w:val="22"/>
              </w:rPr>
              <w:t>Përmbledh të gjitha njohuritë e marra në ndonjë prezantim me gojë apo me shkrim.</w:t>
            </w:r>
          </w:p>
        </w:tc>
      </w:tr>
      <w:tr w:rsidR="00F15509" w:rsidRPr="00193B66" w:rsidTr="0030127E">
        <w:tc>
          <w:tcPr>
            <w:tcW w:w="8856" w:type="dxa"/>
            <w:gridSpan w:val="4"/>
            <w:shd w:val="clear" w:color="auto" w:fill="D9D9D9"/>
          </w:tcPr>
          <w:p w:rsidR="00F15509" w:rsidRPr="00750C1E" w:rsidRDefault="00F15509" w:rsidP="0030127E">
            <w:pPr>
              <w:pStyle w:val="NoSpacing"/>
              <w:rPr>
                <w:rFonts w:ascii="Calibri" w:hAnsi="Calibri"/>
                <w:i/>
                <w:sz w:val="22"/>
                <w:szCs w:val="22"/>
              </w:rPr>
            </w:pPr>
          </w:p>
        </w:tc>
      </w:tr>
      <w:tr w:rsidR="00F15509" w:rsidRPr="00193B66" w:rsidTr="0030127E">
        <w:tc>
          <w:tcPr>
            <w:tcW w:w="8856" w:type="dxa"/>
            <w:gridSpan w:val="4"/>
            <w:shd w:val="clear" w:color="auto" w:fill="D9D9D9"/>
          </w:tcPr>
          <w:p w:rsidR="00F15509" w:rsidRPr="00750C1E" w:rsidRDefault="00F15509" w:rsidP="0030127E">
            <w:pPr>
              <w:pStyle w:val="NoSpacing"/>
              <w:jc w:val="center"/>
              <w:rPr>
                <w:rFonts w:ascii="Calibri" w:hAnsi="Calibri"/>
                <w:b/>
                <w:sz w:val="22"/>
                <w:szCs w:val="22"/>
              </w:rPr>
            </w:pPr>
            <w:r w:rsidRPr="00750C1E">
              <w:rPr>
                <w:rFonts w:ascii="Calibri" w:hAnsi="Calibri"/>
                <w:b/>
                <w:sz w:val="22"/>
                <w:szCs w:val="22"/>
              </w:rPr>
              <w:t>Kontributi nё ngarkesёn e studentit ( gjё qё duhet tё korrespondoj me rezultatet e tё nxёnit tё studentit)</w:t>
            </w:r>
          </w:p>
        </w:tc>
      </w:tr>
      <w:tr w:rsidR="00F15509" w:rsidRPr="00193B66" w:rsidTr="0030127E">
        <w:tc>
          <w:tcPr>
            <w:tcW w:w="3617" w:type="dxa"/>
            <w:tcBorders>
              <w:right w:val="single" w:sz="4" w:space="0" w:color="auto"/>
            </w:tcBorders>
            <w:shd w:val="clear" w:color="auto" w:fill="D9D9D9"/>
          </w:tcPr>
          <w:p w:rsidR="00F15509" w:rsidRPr="00193B66" w:rsidRDefault="00F15509" w:rsidP="0030127E">
            <w:pPr>
              <w:rPr>
                <w:rFonts w:ascii="Calibri" w:hAnsi="Calibri" w:cs="Arial"/>
                <w:b/>
              </w:rPr>
            </w:pPr>
            <w:r w:rsidRPr="00193B66">
              <w:rPr>
                <w:rFonts w:ascii="Calibri" w:hAnsi="Calibri" w:cs="Arial"/>
                <w:b/>
                <w:sz w:val="22"/>
                <w:szCs w:val="22"/>
              </w:rPr>
              <w:t xml:space="preserve">Aktiviteti </w:t>
            </w:r>
          </w:p>
        </w:tc>
        <w:tc>
          <w:tcPr>
            <w:tcW w:w="1425" w:type="dxa"/>
            <w:tcBorders>
              <w:left w:val="single" w:sz="4" w:space="0" w:color="auto"/>
              <w:right w:val="single" w:sz="4" w:space="0" w:color="auto"/>
            </w:tcBorders>
            <w:shd w:val="clear" w:color="auto" w:fill="D9D9D9"/>
          </w:tcPr>
          <w:p w:rsidR="00F15509" w:rsidRPr="00750C1E" w:rsidRDefault="00F15509" w:rsidP="0030127E">
            <w:pPr>
              <w:rPr>
                <w:rFonts w:ascii="Calibri" w:hAnsi="Calibri" w:cs="Arial"/>
                <w:b/>
              </w:rPr>
            </w:pPr>
            <w:r w:rsidRPr="00750C1E">
              <w:rPr>
                <w:rFonts w:ascii="Calibri" w:hAnsi="Calibri" w:cs="Arial"/>
                <w:b/>
                <w:sz w:val="22"/>
                <w:szCs w:val="22"/>
              </w:rPr>
              <w:t xml:space="preserve">Orë </w:t>
            </w:r>
          </w:p>
        </w:tc>
        <w:tc>
          <w:tcPr>
            <w:tcW w:w="1770" w:type="dxa"/>
            <w:tcBorders>
              <w:left w:val="single" w:sz="4" w:space="0" w:color="auto"/>
              <w:right w:val="single" w:sz="4" w:space="0" w:color="auto"/>
            </w:tcBorders>
            <w:shd w:val="clear" w:color="auto" w:fill="D9D9D9"/>
          </w:tcPr>
          <w:p w:rsidR="00F15509" w:rsidRPr="00750C1E" w:rsidRDefault="00F15509" w:rsidP="0030127E">
            <w:pPr>
              <w:rPr>
                <w:rFonts w:ascii="Calibri" w:hAnsi="Calibri" w:cs="Arial"/>
                <w:b/>
              </w:rPr>
            </w:pPr>
            <w:r w:rsidRPr="00750C1E">
              <w:rPr>
                <w:rFonts w:ascii="Calibri" w:hAnsi="Calibri" w:cs="Arial"/>
                <w:b/>
                <w:sz w:val="22"/>
                <w:szCs w:val="22"/>
              </w:rPr>
              <w:t xml:space="preserve"> Ditë/javë  </w:t>
            </w:r>
          </w:p>
        </w:tc>
        <w:tc>
          <w:tcPr>
            <w:tcW w:w="2044" w:type="dxa"/>
            <w:tcBorders>
              <w:left w:val="single" w:sz="4" w:space="0" w:color="auto"/>
            </w:tcBorders>
            <w:shd w:val="clear" w:color="auto" w:fill="D9D9D9"/>
          </w:tcPr>
          <w:p w:rsidR="00F15509" w:rsidRPr="00750C1E" w:rsidRDefault="00F15509" w:rsidP="0030127E">
            <w:pPr>
              <w:rPr>
                <w:rFonts w:ascii="Calibri" w:hAnsi="Calibri" w:cs="Arial"/>
                <w:b/>
              </w:rPr>
            </w:pPr>
            <w:r w:rsidRPr="00750C1E">
              <w:rPr>
                <w:rFonts w:ascii="Calibri" w:hAnsi="Calibri" w:cs="Arial"/>
                <w:b/>
                <w:sz w:val="22"/>
                <w:szCs w:val="22"/>
              </w:rPr>
              <w:t>Gjithësej</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rPr>
              <w:t>Ligjërata</w:t>
            </w:r>
          </w:p>
        </w:tc>
        <w:tc>
          <w:tcPr>
            <w:tcW w:w="1425" w:type="dxa"/>
            <w:tcBorders>
              <w:left w:val="single" w:sz="4" w:space="0" w:color="auto"/>
              <w:right w:val="single" w:sz="4" w:space="0" w:color="auto"/>
            </w:tcBorders>
            <w:shd w:val="clear" w:color="auto" w:fill="FFFFFF"/>
          </w:tcPr>
          <w:p w:rsidR="00415DB0" w:rsidRPr="00B871E8" w:rsidRDefault="005321A4" w:rsidP="00415DB0">
            <w:pPr>
              <w:autoSpaceDE w:val="0"/>
              <w:autoSpaceDN w:val="0"/>
              <w:adjustRightInd w:val="0"/>
              <w:jc w:val="center"/>
              <w:rPr>
                <w:rFonts w:ascii="Calibri" w:hAnsi="Calibri" w:cs="Calibri"/>
              </w:rPr>
            </w:pPr>
            <w:r>
              <w:rPr>
                <w:rFonts w:ascii="Calibri" w:hAnsi="Calibri" w:cs="Calibri"/>
              </w:rPr>
              <w:t>2</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15</w:t>
            </w:r>
          </w:p>
        </w:tc>
        <w:tc>
          <w:tcPr>
            <w:tcW w:w="2044" w:type="dxa"/>
            <w:tcBorders>
              <w:left w:val="single" w:sz="4" w:space="0" w:color="auto"/>
            </w:tcBorders>
            <w:shd w:val="clear" w:color="auto" w:fill="FFFFFF"/>
          </w:tcPr>
          <w:p w:rsidR="00415DB0" w:rsidRPr="007C3132" w:rsidRDefault="005321A4" w:rsidP="00415DB0">
            <w:pPr>
              <w:jc w:val="center"/>
              <w:rPr>
                <w:rFonts w:ascii="Calibri" w:hAnsi="Calibri" w:cs="Arial"/>
              </w:rPr>
            </w:pPr>
            <w:r>
              <w:rPr>
                <w:rFonts w:ascii="Calibri" w:hAnsi="Calibri" w:cs="Arial"/>
                <w:sz w:val="22"/>
                <w:szCs w:val="22"/>
              </w:rPr>
              <w:t>30</w:t>
            </w:r>
          </w:p>
        </w:tc>
      </w:tr>
      <w:tr w:rsidR="005321A4" w:rsidRPr="00193B66" w:rsidTr="0030127E">
        <w:tc>
          <w:tcPr>
            <w:tcW w:w="3617" w:type="dxa"/>
            <w:tcBorders>
              <w:right w:val="single" w:sz="4" w:space="0" w:color="auto"/>
            </w:tcBorders>
            <w:shd w:val="clear" w:color="auto" w:fill="FFFFFF"/>
          </w:tcPr>
          <w:p w:rsidR="005321A4" w:rsidRPr="007C3132" w:rsidRDefault="005321A4" w:rsidP="00B854C2">
            <w:pPr>
              <w:rPr>
                <w:rFonts w:ascii="Calibri" w:hAnsi="Calibri" w:cs="Arial"/>
              </w:rPr>
            </w:pPr>
            <w:r w:rsidRPr="007C3132">
              <w:rPr>
                <w:rFonts w:ascii="Calibri" w:hAnsi="Calibri" w:cs="Arial"/>
                <w:sz w:val="22"/>
                <w:szCs w:val="22"/>
              </w:rPr>
              <w:t>Ushtrime teorike</w:t>
            </w:r>
            <w:r>
              <w:rPr>
                <w:rFonts w:ascii="Calibri" w:hAnsi="Calibri" w:cs="Arial"/>
                <w:sz w:val="22"/>
                <w:szCs w:val="22"/>
              </w:rPr>
              <w:t xml:space="preserve"> (Nomenklatur</w:t>
            </w:r>
            <w:r w:rsidRPr="00646004">
              <w:rPr>
                <w:rFonts w:ascii="Calibri" w:hAnsi="Calibri" w:cs="Arial"/>
                <w:sz w:val="22"/>
                <w:szCs w:val="22"/>
              </w:rPr>
              <w:t>ë</w:t>
            </w:r>
            <w:r>
              <w:rPr>
                <w:rFonts w:ascii="Calibri" w:hAnsi="Calibri" w:cs="Arial"/>
                <w:sz w:val="22"/>
                <w:szCs w:val="22"/>
              </w:rPr>
              <w:t>)</w:t>
            </w:r>
          </w:p>
        </w:tc>
        <w:tc>
          <w:tcPr>
            <w:tcW w:w="1425" w:type="dxa"/>
            <w:tcBorders>
              <w:left w:val="single" w:sz="4" w:space="0" w:color="auto"/>
              <w:right w:val="single" w:sz="4" w:space="0" w:color="auto"/>
            </w:tcBorders>
            <w:shd w:val="clear" w:color="auto" w:fill="FFFFFF"/>
          </w:tcPr>
          <w:p w:rsidR="005321A4" w:rsidRPr="007C3132" w:rsidRDefault="005321A4" w:rsidP="00415DB0">
            <w:pPr>
              <w:jc w:val="center"/>
              <w:rPr>
                <w:rFonts w:ascii="Calibri" w:hAnsi="Calibri" w:cs="Arial"/>
              </w:rPr>
            </w:pPr>
            <w:r>
              <w:rPr>
                <w:rFonts w:ascii="Calibri" w:hAnsi="Calibri" w:cs="Arial"/>
              </w:rPr>
              <w:t>1</w:t>
            </w:r>
          </w:p>
        </w:tc>
        <w:tc>
          <w:tcPr>
            <w:tcW w:w="1770" w:type="dxa"/>
            <w:tcBorders>
              <w:left w:val="single" w:sz="4" w:space="0" w:color="auto"/>
              <w:right w:val="single" w:sz="4" w:space="0" w:color="auto"/>
            </w:tcBorders>
            <w:shd w:val="clear" w:color="auto" w:fill="FFFFFF"/>
          </w:tcPr>
          <w:p w:rsidR="005321A4" w:rsidRPr="007C3132" w:rsidRDefault="005321A4" w:rsidP="00415DB0">
            <w:pPr>
              <w:jc w:val="center"/>
              <w:rPr>
                <w:rFonts w:ascii="Calibri" w:hAnsi="Calibri" w:cs="Arial"/>
              </w:rPr>
            </w:pPr>
            <w:r>
              <w:rPr>
                <w:rFonts w:ascii="Calibri" w:hAnsi="Calibri" w:cs="Arial"/>
              </w:rPr>
              <w:t>15</w:t>
            </w:r>
          </w:p>
        </w:tc>
        <w:tc>
          <w:tcPr>
            <w:tcW w:w="2044" w:type="dxa"/>
            <w:tcBorders>
              <w:left w:val="single" w:sz="4" w:space="0" w:color="auto"/>
            </w:tcBorders>
            <w:shd w:val="clear" w:color="auto" w:fill="FFFFFF"/>
          </w:tcPr>
          <w:p w:rsidR="005321A4" w:rsidRPr="007C3132" w:rsidRDefault="005321A4" w:rsidP="00415DB0">
            <w:pPr>
              <w:jc w:val="center"/>
              <w:rPr>
                <w:rFonts w:ascii="Calibri" w:hAnsi="Calibri" w:cs="Arial"/>
              </w:rPr>
            </w:pPr>
            <w:r>
              <w:rPr>
                <w:rFonts w:ascii="Calibri" w:hAnsi="Calibri" w:cs="Arial"/>
              </w:rPr>
              <w:t>15</w:t>
            </w:r>
          </w:p>
        </w:tc>
      </w:tr>
      <w:tr w:rsidR="005321A4" w:rsidRPr="00193B66" w:rsidTr="0030127E">
        <w:tc>
          <w:tcPr>
            <w:tcW w:w="3617" w:type="dxa"/>
            <w:tcBorders>
              <w:right w:val="single" w:sz="4" w:space="0" w:color="auto"/>
            </w:tcBorders>
            <w:shd w:val="clear" w:color="auto" w:fill="FFFFFF"/>
          </w:tcPr>
          <w:p w:rsidR="005321A4" w:rsidRPr="007C3132" w:rsidRDefault="005321A4" w:rsidP="00B854C2">
            <w:pPr>
              <w:rPr>
                <w:rFonts w:ascii="Calibri" w:hAnsi="Calibri" w:cs="Arial"/>
              </w:rPr>
            </w:pPr>
            <w:r w:rsidRPr="007C3132">
              <w:rPr>
                <w:rFonts w:ascii="Calibri" w:hAnsi="Calibri" w:cs="Arial"/>
                <w:sz w:val="22"/>
                <w:szCs w:val="22"/>
              </w:rPr>
              <w:t>Ushtrime</w:t>
            </w:r>
            <w:r>
              <w:rPr>
                <w:rFonts w:ascii="Calibri" w:hAnsi="Calibri" w:cs="Arial"/>
                <w:sz w:val="22"/>
                <w:szCs w:val="22"/>
              </w:rPr>
              <w:t xml:space="preserve"> </w:t>
            </w:r>
            <w:r w:rsidRPr="007C3132">
              <w:rPr>
                <w:rFonts w:ascii="Calibri" w:hAnsi="Calibri" w:cs="Arial"/>
                <w:sz w:val="22"/>
                <w:szCs w:val="22"/>
              </w:rPr>
              <w:t>laboratorike</w:t>
            </w:r>
          </w:p>
        </w:tc>
        <w:tc>
          <w:tcPr>
            <w:tcW w:w="1425" w:type="dxa"/>
            <w:tcBorders>
              <w:left w:val="single" w:sz="4" w:space="0" w:color="auto"/>
              <w:right w:val="single" w:sz="4" w:space="0" w:color="auto"/>
            </w:tcBorders>
            <w:shd w:val="clear" w:color="auto" w:fill="FFFFFF"/>
          </w:tcPr>
          <w:p w:rsidR="005321A4" w:rsidRPr="007C3132" w:rsidRDefault="005321A4" w:rsidP="00B854C2">
            <w:pPr>
              <w:jc w:val="center"/>
              <w:rPr>
                <w:rFonts w:ascii="Calibri" w:hAnsi="Calibri" w:cs="Arial"/>
              </w:rPr>
            </w:pPr>
            <w:r>
              <w:rPr>
                <w:rFonts w:ascii="Calibri" w:hAnsi="Calibri" w:cs="Calibri"/>
              </w:rPr>
              <w:t>2</w:t>
            </w:r>
          </w:p>
        </w:tc>
        <w:tc>
          <w:tcPr>
            <w:tcW w:w="1770" w:type="dxa"/>
            <w:tcBorders>
              <w:left w:val="single" w:sz="4" w:space="0" w:color="auto"/>
              <w:right w:val="single" w:sz="4" w:space="0" w:color="auto"/>
            </w:tcBorders>
            <w:shd w:val="clear" w:color="auto" w:fill="FFFFFF"/>
          </w:tcPr>
          <w:p w:rsidR="005321A4" w:rsidRPr="007C3132" w:rsidRDefault="005321A4" w:rsidP="00B854C2">
            <w:pPr>
              <w:jc w:val="center"/>
              <w:rPr>
                <w:rFonts w:ascii="Calibri" w:hAnsi="Calibri" w:cs="Arial"/>
              </w:rPr>
            </w:pPr>
            <w:r>
              <w:rPr>
                <w:rFonts w:ascii="Calibri" w:hAnsi="Calibri" w:cs="Arial"/>
                <w:sz w:val="22"/>
                <w:szCs w:val="22"/>
              </w:rPr>
              <w:t>15</w:t>
            </w:r>
          </w:p>
        </w:tc>
        <w:tc>
          <w:tcPr>
            <w:tcW w:w="2044" w:type="dxa"/>
            <w:tcBorders>
              <w:left w:val="single" w:sz="4" w:space="0" w:color="auto"/>
            </w:tcBorders>
            <w:shd w:val="clear" w:color="auto" w:fill="FFFFFF"/>
          </w:tcPr>
          <w:p w:rsidR="005321A4" w:rsidRPr="007C3132" w:rsidRDefault="005321A4" w:rsidP="00B854C2">
            <w:pPr>
              <w:jc w:val="center"/>
              <w:rPr>
                <w:rFonts w:ascii="Calibri" w:hAnsi="Calibri" w:cs="Arial"/>
              </w:rPr>
            </w:pPr>
            <w:r>
              <w:rPr>
                <w:rFonts w:ascii="Calibri" w:hAnsi="Calibri" w:cs="Arial"/>
                <w:sz w:val="22"/>
                <w:szCs w:val="22"/>
              </w:rPr>
              <w:t>30</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lang w:val="nb-NO"/>
              </w:rPr>
              <w:t>Kontaktet me mësimdhënësin/konsultimet</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10</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rPr>
              <w:t>Ushtrime  në teren</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rPr>
              <w:t>Kollokfiume,seminare</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10</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rPr>
              <w:t>Detyra të  shtëpisë</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10</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3</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15</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rPr>
              <w:t>Përgaditja përfundimtare për provim</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10</w:t>
            </w:r>
          </w:p>
        </w:tc>
      </w:tr>
      <w:tr w:rsidR="00415DB0" w:rsidRPr="00193B66" w:rsidTr="0030127E">
        <w:tc>
          <w:tcPr>
            <w:tcW w:w="3617" w:type="dxa"/>
            <w:tcBorders>
              <w:right w:val="single" w:sz="4" w:space="0" w:color="auto"/>
            </w:tcBorders>
            <w:shd w:val="clear" w:color="auto" w:fill="FFFFFF"/>
          </w:tcPr>
          <w:p w:rsidR="00415DB0" w:rsidRPr="007C3132" w:rsidRDefault="00415DB0" w:rsidP="0030127E">
            <w:pPr>
              <w:rPr>
                <w:rFonts w:ascii="Calibri" w:hAnsi="Calibri" w:cs="Arial"/>
              </w:rPr>
            </w:pPr>
            <w:r w:rsidRPr="007C3132">
              <w:rPr>
                <w:rFonts w:ascii="Calibri" w:hAnsi="Calibri" w:cs="Arial"/>
                <w:sz w:val="22"/>
                <w:szCs w:val="22"/>
              </w:rPr>
              <w:t>Koha e kaluar në vlerësim (teste,kuiz,provim final)</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10</w:t>
            </w:r>
          </w:p>
        </w:tc>
      </w:tr>
      <w:tr w:rsidR="00415DB0" w:rsidRPr="00193B66" w:rsidTr="0030127E">
        <w:tc>
          <w:tcPr>
            <w:tcW w:w="3617" w:type="dxa"/>
            <w:tcBorders>
              <w:right w:val="single" w:sz="4" w:space="0" w:color="auto"/>
            </w:tcBorders>
            <w:shd w:val="clear" w:color="auto" w:fill="FFFFFF"/>
          </w:tcPr>
          <w:p w:rsidR="00415DB0" w:rsidRDefault="00415DB0" w:rsidP="0030127E">
            <w:pPr>
              <w:rPr>
                <w:rFonts w:ascii="Calibri" w:hAnsi="Calibri" w:cs="Arial"/>
              </w:rPr>
            </w:pPr>
            <w:r w:rsidRPr="007C3132">
              <w:rPr>
                <w:rFonts w:ascii="Calibri" w:hAnsi="Calibri" w:cs="Arial"/>
                <w:sz w:val="22"/>
                <w:szCs w:val="22"/>
              </w:rPr>
              <w:t>Projektet,prezentimet ,etj</w:t>
            </w:r>
          </w:p>
          <w:p w:rsidR="00415DB0" w:rsidRPr="007C3132" w:rsidRDefault="00415DB0" w:rsidP="0030127E">
            <w:pPr>
              <w:rPr>
                <w:rFonts w:ascii="Calibri" w:hAnsi="Calibri" w:cs="Arial"/>
              </w:rPr>
            </w:pPr>
            <w:r>
              <w:rPr>
                <w:rFonts w:ascii="Calibri" w:hAnsi="Calibri" w:cs="Arial"/>
                <w:sz w:val="22"/>
                <w:szCs w:val="22"/>
              </w:rPr>
              <w:t xml:space="preserve"> </w:t>
            </w:r>
          </w:p>
        </w:tc>
        <w:tc>
          <w:tcPr>
            <w:tcW w:w="1425"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FFFFFF"/>
          </w:tcPr>
          <w:p w:rsidR="00415DB0" w:rsidRPr="007C3132" w:rsidRDefault="00415DB0" w:rsidP="00415DB0">
            <w:pPr>
              <w:jc w:val="center"/>
              <w:rPr>
                <w:rFonts w:ascii="Calibri" w:hAnsi="Calibri" w:cs="Arial"/>
              </w:rPr>
            </w:pPr>
            <w:r>
              <w:rPr>
                <w:rFonts w:ascii="Calibri" w:hAnsi="Calibri" w:cs="Arial"/>
                <w:sz w:val="22"/>
                <w:szCs w:val="22"/>
              </w:rPr>
              <w:t>10</w:t>
            </w:r>
          </w:p>
        </w:tc>
      </w:tr>
      <w:tr w:rsidR="00415DB0" w:rsidRPr="00193B66" w:rsidTr="0030127E">
        <w:tc>
          <w:tcPr>
            <w:tcW w:w="3617" w:type="dxa"/>
            <w:tcBorders>
              <w:right w:val="single" w:sz="4" w:space="0" w:color="auto"/>
            </w:tcBorders>
            <w:shd w:val="clear" w:color="auto" w:fill="D9D9D9"/>
          </w:tcPr>
          <w:p w:rsidR="00415DB0" w:rsidRPr="00193B66" w:rsidRDefault="00415DB0" w:rsidP="0030127E">
            <w:pPr>
              <w:rPr>
                <w:rFonts w:ascii="Calibri" w:hAnsi="Calibri" w:cs="Arial"/>
                <w:b/>
              </w:rPr>
            </w:pPr>
            <w:r w:rsidRPr="00193B66">
              <w:rPr>
                <w:rFonts w:ascii="Calibri" w:hAnsi="Calibri" w:cs="Arial"/>
                <w:b/>
                <w:sz w:val="22"/>
                <w:szCs w:val="22"/>
              </w:rPr>
              <w:t xml:space="preserve">Totali </w:t>
            </w:r>
          </w:p>
          <w:p w:rsidR="00415DB0" w:rsidRPr="00193B66" w:rsidRDefault="00415DB0" w:rsidP="0030127E">
            <w:pPr>
              <w:rPr>
                <w:rFonts w:ascii="Calibri" w:hAnsi="Calibri" w:cs="Arial"/>
                <w:b/>
              </w:rPr>
            </w:pPr>
          </w:p>
        </w:tc>
        <w:tc>
          <w:tcPr>
            <w:tcW w:w="1425" w:type="dxa"/>
            <w:tcBorders>
              <w:left w:val="single" w:sz="4" w:space="0" w:color="auto"/>
              <w:right w:val="single" w:sz="4" w:space="0" w:color="auto"/>
            </w:tcBorders>
            <w:shd w:val="clear" w:color="auto" w:fill="D9D9D9"/>
          </w:tcPr>
          <w:p w:rsidR="00415DB0" w:rsidRPr="007C3132" w:rsidRDefault="00415DB0" w:rsidP="00415DB0">
            <w:pPr>
              <w:jc w:val="center"/>
              <w:rPr>
                <w:rFonts w:ascii="Calibri" w:hAnsi="Calibri" w:cs="Arial"/>
                <w:b/>
              </w:rPr>
            </w:pPr>
          </w:p>
        </w:tc>
        <w:tc>
          <w:tcPr>
            <w:tcW w:w="1770" w:type="dxa"/>
            <w:tcBorders>
              <w:left w:val="single" w:sz="4" w:space="0" w:color="auto"/>
              <w:right w:val="single" w:sz="4" w:space="0" w:color="auto"/>
            </w:tcBorders>
            <w:shd w:val="clear" w:color="auto" w:fill="D9D9D9"/>
          </w:tcPr>
          <w:p w:rsidR="00415DB0" w:rsidRPr="007C3132" w:rsidRDefault="00415DB0" w:rsidP="00415DB0">
            <w:pPr>
              <w:jc w:val="center"/>
              <w:rPr>
                <w:rFonts w:ascii="Calibri" w:hAnsi="Calibri" w:cs="Arial"/>
                <w:b/>
              </w:rPr>
            </w:pPr>
          </w:p>
        </w:tc>
        <w:tc>
          <w:tcPr>
            <w:tcW w:w="2044" w:type="dxa"/>
            <w:tcBorders>
              <w:left w:val="single" w:sz="4" w:space="0" w:color="auto"/>
            </w:tcBorders>
            <w:shd w:val="clear" w:color="auto" w:fill="D9D9D9"/>
          </w:tcPr>
          <w:p w:rsidR="00415DB0" w:rsidRPr="007C3132" w:rsidRDefault="00415DB0" w:rsidP="00415DB0">
            <w:pPr>
              <w:jc w:val="center"/>
              <w:rPr>
                <w:rFonts w:ascii="Calibri" w:hAnsi="Calibri" w:cs="Arial"/>
                <w:b/>
              </w:rPr>
            </w:pPr>
            <w:r>
              <w:rPr>
                <w:rFonts w:ascii="Calibri" w:hAnsi="Calibri" w:cs="Arial"/>
                <w:b/>
                <w:sz w:val="22"/>
                <w:szCs w:val="22"/>
              </w:rPr>
              <w:t>150</w:t>
            </w:r>
          </w:p>
        </w:tc>
      </w:tr>
      <w:tr w:rsidR="00F15509" w:rsidRPr="00193B66" w:rsidTr="0030127E">
        <w:tc>
          <w:tcPr>
            <w:tcW w:w="8856" w:type="dxa"/>
            <w:gridSpan w:val="4"/>
            <w:shd w:val="clear" w:color="auto" w:fill="D9D9D9"/>
          </w:tcPr>
          <w:p w:rsidR="00F15509" w:rsidRPr="00750C1E" w:rsidRDefault="00F15509" w:rsidP="0030127E">
            <w:pPr>
              <w:rPr>
                <w:rFonts w:ascii="Calibri" w:hAnsi="Calibri" w:cs="Arial"/>
                <w:b/>
              </w:rPr>
            </w:pPr>
          </w:p>
        </w:tc>
      </w:tr>
      <w:tr w:rsidR="00415DB0" w:rsidRPr="00193B66" w:rsidTr="0030127E">
        <w:tc>
          <w:tcPr>
            <w:tcW w:w="3617" w:type="dxa"/>
          </w:tcPr>
          <w:p w:rsidR="00415DB0" w:rsidRPr="00193B66" w:rsidRDefault="00415DB0" w:rsidP="0030127E">
            <w:pPr>
              <w:pStyle w:val="NoSpacing"/>
              <w:rPr>
                <w:rFonts w:ascii="Calibri" w:hAnsi="Calibri"/>
                <w:b/>
                <w:sz w:val="22"/>
                <w:szCs w:val="22"/>
              </w:rPr>
            </w:pPr>
            <w:r w:rsidRPr="00193B66">
              <w:rPr>
                <w:rFonts w:ascii="Calibri" w:hAnsi="Calibri"/>
                <w:b/>
                <w:sz w:val="22"/>
                <w:szCs w:val="22"/>
              </w:rPr>
              <w:t xml:space="preserve">Metodologjia e mësimëdhënies:  </w:t>
            </w:r>
          </w:p>
        </w:tc>
        <w:tc>
          <w:tcPr>
            <w:tcW w:w="5239" w:type="dxa"/>
            <w:gridSpan w:val="3"/>
          </w:tcPr>
          <w:p w:rsidR="00415DB0" w:rsidRDefault="00415DB0" w:rsidP="0030127E">
            <w:pPr>
              <w:autoSpaceDE w:val="0"/>
              <w:autoSpaceDN w:val="0"/>
              <w:adjustRightInd w:val="0"/>
              <w:rPr>
                <w:rFonts w:ascii="TimesNewRoman" w:hAnsi="TimesNewRoman" w:cs="TimesNewRoman"/>
              </w:rPr>
            </w:pPr>
            <w:r>
              <w:rPr>
                <w:rFonts w:ascii="TimesNewRoman" w:hAnsi="TimesNewRoman" w:cs="TimesNewRoman"/>
              </w:rPr>
              <w:t>Ligjërata, ushtrime, seminare, diskutim, punë në</w:t>
            </w:r>
          </w:p>
          <w:p w:rsidR="00415DB0" w:rsidRPr="00D67209" w:rsidRDefault="00415DB0" w:rsidP="0030127E">
            <w:pPr>
              <w:pStyle w:val="NoSpacing"/>
              <w:rPr>
                <w:rFonts w:ascii="Calibri" w:hAnsi="Calibri"/>
                <w:i/>
                <w:sz w:val="22"/>
                <w:szCs w:val="22"/>
              </w:rPr>
            </w:pPr>
            <w:r>
              <w:rPr>
                <w:rFonts w:ascii="TimesNewRoman" w:hAnsi="TimesNewRoman" w:cs="TimesNewRoman"/>
              </w:rPr>
              <w:t>grupe.</w:t>
            </w:r>
          </w:p>
        </w:tc>
      </w:tr>
      <w:tr w:rsidR="00415DB0" w:rsidRPr="00193B66" w:rsidTr="0030127E">
        <w:tc>
          <w:tcPr>
            <w:tcW w:w="3617" w:type="dxa"/>
          </w:tcPr>
          <w:p w:rsidR="00415DB0" w:rsidRPr="00193B66" w:rsidRDefault="00415DB0" w:rsidP="0030127E">
            <w:pPr>
              <w:pStyle w:val="NoSpacing"/>
              <w:rPr>
                <w:rFonts w:ascii="Calibri" w:hAnsi="Calibri"/>
                <w:b/>
                <w:sz w:val="22"/>
                <w:szCs w:val="22"/>
                <w:lang w:val="nb-NO"/>
              </w:rPr>
            </w:pPr>
          </w:p>
        </w:tc>
        <w:tc>
          <w:tcPr>
            <w:tcW w:w="5239" w:type="dxa"/>
            <w:gridSpan w:val="3"/>
          </w:tcPr>
          <w:p w:rsidR="00415DB0" w:rsidRPr="00750C1E" w:rsidRDefault="00415DB0" w:rsidP="0030127E">
            <w:pPr>
              <w:pStyle w:val="NoSpacing"/>
              <w:rPr>
                <w:rFonts w:ascii="Calibri" w:hAnsi="Calibri"/>
                <w:i/>
                <w:sz w:val="22"/>
                <w:szCs w:val="22"/>
                <w:lang w:val="nb-NO"/>
              </w:rPr>
            </w:pPr>
          </w:p>
        </w:tc>
      </w:tr>
      <w:tr w:rsidR="00415DB0" w:rsidRPr="00193B66" w:rsidTr="0030127E">
        <w:tc>
          <w:tcPr>
            <w:tcW w:w="3617" w:type="dxa"/>
          </w:tcPr>
          <w:p w:rsidR="00415DB0" w:rsidRPr="00193B66" w:rsidRDefault="00415DB0" w:rsidP="0030127E">
            <w:pPr>
              <w:pStyle w:val="NoSpacing"/>
              <w:rPr>
                <w:rFonts w:ascii="Calibri" w:hAnsi="Calibri"/>
                <w:b/>
                <w:sz w:val="22"/>
                <w:szCs w:val="22"/>
              </w:rPr>
            </w:pPr>
            <w:r w:rsidRPr="00193B66">
              <w:rPr>
                <w:rFonts w:ascii="Calibri" w:hAnsi="Calibri"/>
                <w:b/>
                <w:sz w:val="22"/>
                <w:szCs w:val="22"/>
              </w:rPr>
              <w:t>Metodat e vlerësimit:</w:t>
            </w:r>
          </w:p>
        </w:tc>
        <w:tc>
          <w:tcPr>
            <w:tcW w:w="5239" w:type="dxa"/>
            <w:gridSpan w:val="3"/>
          </w:tcPr>
          <w:p w:rsidR="007176FE" w:rsidRDefault="007176FE" w:rsidP="007176FE">
            <w:pPr>
              <w:autoSpaceDE w:val="0"/>
              <w:autoSpaceDN w:val="0"/>
              <w:adjustRightInd w:val="0"/>
              <w:rPr>
                <w:rFonts w:ascii="TimesNewRoman" w:hAnsi="TimesNewRoman" w:cs="TimesNewRoman"/>
              </w:rPr>
            </w:pPr>
            <w:r>
              <w:rPr>
                <w:rFonts w:ascii="TimesNewRoman" w:hAnsi="TimesNewRoman" w:cs="TimesNewRoman"/>
              </w:rPr>
              <w:t>Kollokviumi i parë: 25%</w:t>
            </w:r>
          </w:p>
          <w:p w:rsidR="007176FE" w:rsidRDefault="007176FE" w:rsidP="007176FE">
            <w:pPr>
              <w:autoSpaceDE w:val="0"/>
              <w:autoSpaceDN w:val="0"/>
              <w:adjustRightInd w:val="0"/>
              <w:rPr>
                <w:rFonts w:ascii="TimesNewRoman" w:hAnsi="TimesNewRoman" w:cs="TimesNewRoman"/>
              </w:rPr>
            </w:pPr>
            <w:r>
              <w:rPr>
                <w:rFonts w:ascii="TimesNewRoman" w:hAnsi="TimesNewRoman" w:cs="TimesNewRoman"/>
              </w:rPr>
              <w:t>Kollokviumi i dytë: 25%</w:t>
            </w:r>
          </w:p>
          <w:p w:rsidR="007176FE" w:rsidRDefault="007176FE" w:rsidP="007176FE">
            <w:pPr>
              <w:autoSpaceDE w:val="0"/>
              <w:autoSpaceDN w:val="0"/>
              <w:adjustRightInd w:val="0"/>
              <w:rPr>
                <w:rFonts w:ascii="TimesNewRoman" w:hAnsi="TimesNewRoman" w:cs="TimesNewRoman"/>
              </w:rPr>
            </w:pPr>
            <w:r>
              <w:rPr>
                <w:rFonts w:ascii="TimesNewRoman" w:hAnsi="TimesNewRoman" w:cs="TimesNewRoman"/>
              </w:rPr>
              <w:t>Vijimi i rregullt: 5%</w:t>
            </w:r>
          </w:p>
          <w:p w:rsidR="007176FE" w:rsidRDefault="007176FE" w:rsidP="007176FE">
            <w:pPr>
              <w:autoSpaceDE w:val="0"/>
              <w:autoSpaceDN w:val="0"/>
              <w:adjustRightInd w:val="0"/>
              <w:rPr>
                <w:rFonts w:ascii="TimesNewRoman" w:hAnsi="TimesNewRoman" w:cs="TimesNewRoman"/>
              </w:rPr>
            </w:pPr>
            <w:r>
              <w:rPr>
                <w:rFonts w:ascii="TimesNewRoman" w:hAnsi="TimesNewRoman" w:cs="TimesNewRoman"/>
              </w:rPr>
              <w:t>Detyra dhe angazhime tjera 5%</w:t>
            </w:r>
          </w:p>
          <w:p w:rsidR="007176FE" w:rsidRDefault="007176FE" w:rsidP="007176FE">
            <w:pPr>
              <w:autoSpaceDE w:val="0"/>
              <w:autoSpaceDN w:val="0"/>
              <w:adjustRightInd w:val="0"/>
              <w:rPr>
                <w:rFonts w:ascii="TimesNewRoman" w:hAnsi="TimesNewRoman" w:cs="TimesNewRoman"/>
              </w:rPr>
            </w:pPr>
            <w:r>
              <w:rPr>
                <w:rFonts w:ascii="TimesNewRoman" w:hAnsi="TimesNewRoman" w:cs="TimesNewRoman"/>
              </w:rPr>
              <w:t>Provimi final: 40%</w:t>
            </w:r>
          </w:p>
          <w:p w:rsidR="00415DB0" w:rsidRPr="00750C1E" w:rsidRDefault="007176FE" w:rsidP="007176FE">
            <w:pPr>
              <w:pStyle w:val="NoSpacing"/>
              <w:rPr>
                <w:rFonts w:ascii="Calibri" w:hAnsi="Calibri"/>
                <w:i/>
                <w:sz w:val="22"/>
                <w:szCs w:val="22"/>
              </w:rPr>
            </w:pPr>
            <w:r>
              <w:rPr>
                <w:rFonts w:ascii="TimesNewRoman" w:hAnsi="TimesNewRoman" w:cs="TimesNewRoman"/>
              </w:rPr>
              <w:t>Total: 100%</w:t>
            </w:r>
          </w:p>
        </w:tc>
      </w:tr>
      <w:tr w:rsidR="00415DB0" w:rsidRPr="00193B66" w:rsidTr="0030127E">
        <w:tc>
          <w:tcPr>
            <w:tcW w:w="8856" w:type="dxa"/>
            <w:gridSpan w:val="4"/>
            <w:shd w:val="clear" w:color="auto" w:fill="D9D9D9"/>
          </w:tcPr>
          <w:p w:rsidR="00415DB0" w:rsidRPr="00750C1E" w:rsidRDefault="00415DB0" w:rsidP="0030127E">
            <w:pPr>
              <w:pStyle w:val="NoSpacing"/>
              <w:rPr>
                <w:rFonts w:ascii="Calibri" w:hAnsi="Calibri"/>
                <w:b/>
                <w:sz w:val="22"/>
                <w:szCs w:val="22"/>
              </w:rPr>
            </w:pPr>
            <w:r w:rsidRPr="00750C1E">
              <w:rPr>
                <w:rFonts w:ascii="Calibri" w:hAnsi="Calibri"/>
                <w:b/>
                <w:sz w:val="22"/>
                <w:szCs w:val="22"/>
              </w:rPr>
              <w:t xml:space="preserve">Literatura </w:t>
            </w:r>
          </w:p>
        </w:tc>
      </w:tr>
      <w:tr w:rsidR="00415DB0" w:rsidRPr="00193B66" w:rsidTr="0030127E">
        <w:tc>
          <w:tcPr>
            <w:tcW w:w="3617" w:type="dxa"/>
          </w:tcPr>
          <w:p w:rsidR="00415DB0" w:rsidRPr="00193B66" w:rsidRDefault="00415DB0" w:rsidP="0030127E">
            <w:pPr>
              <w:pStyle w:val="NoSpacing"/>
              <w:rPr>
                <w:rFonts w:ascii="Calibri" w:hAnsi="Calibri"/>
                <w:b/>
                <w:sz w:val="22"/>
                <w:szCs w:val="22"/>
              </w:rPr>
            </w:pPr>
            <w:r w:rsidRPr="00193B66">
              <w:rPr>
                <w:rFonts w:ascii="Calibri" w:hAnsi="Calibri"/>
                <w:b/>
                <w:sz w:val="22"/>
                <w:szCs w:val="22"/>
              </w:rPr>
              <w:t xml:space="preserve">Literatura bazë:  </w:t>
            </w:r>
          </w:p>
        </w:tc>
        <w:tc>
          <w:tcPr>
            <w:tcW w:w="5239" w:type="dxa"/>
            <w:gridSpan w:val="3"/>
          </w:tcPr>
          <w:p w:rsidR="00415DB0" w:rsidRPr="007176FE" w:rsidRDefault="00415DB0" w:rsidP="0030127E">
            <w:pPr>
              <w:numPr>
                <w:ilvl w:val="0"/>
                <w:numId w:val="3"/>
              </w:numPr>
              <w:jc w:val="both"/>
            </w:pPr>
            <w:r w:rsidRPr="00750C1E">
              <w:rPr>
                <w:b/>
                <w:sz w:val="22"/>
                <w:szCs w:val="22"/>
              </w:rPr>
              <w:t>Nexhat Daci, Majlinda Daci-Ajvazi, Kimia Organike</w:t>
            </w:r>
            <w:r w:rsidRPr="00750C1E">
              <w:rPr>
                <w:sz w:val="22"/>
                <w:szCs w:val="22"/>
              </w:rPr>
              <w:t>, botimi i V</w:t>
            </w:r>
            <w:r w:rsidRPr="00750C1E">
              <w:rPr>
                <w:sz w:val="22"/>
                <w:szCs w:val="22"/>
                <w:vertAlign w:val="superscript"/>
              </w:rPr>
              <w:t>të</w:t>
            </w:r>
            <w:r w:rsidRPr="00750C1E">
              <w:rPr>
                <w:sz w:val="22"/>
                <w:szCs w:val="22"/>
              </w:rPr>
              <w:t>, Libri Shkollor, 2014, Prishtinë</w:t>
            </w:r>
            <w:r w:rsidR="007176FE">
              <w:rPr>
                <w:sz w:val="22"/>
                <w:szCs w:val="22"/>
              </w:rPr>
              <w:t>.</w:t>
            </w:r>
          </w:p>
          <w:p w:rsidR="007176FE" w:rsidRPr="00750C1E" w:rsidRDefault="007176FE" w:rsidP="0030127E">
            <w:pPr>
              <w:numPr>
                <w:ilvl w:val="0"/>
                <w:numId w:val="3"/>
              </w:numPr>
              <w:jc w:val="both"/>
            </w:pPr>
            <w:r>
              <w:rPr>
                <w:b/>
                <w:sz w:val="22"/>
                <w:szCs w:val="22"/>
              </w:rPr>
              <w:t xml:space="preserve">Majlinda Daci Ajvazi: </w:t>
            </w:r>
            <w:r>
              <w:rPr>
                <w:sz w:val="22"/>
                <w:szCs w:val="22"/>
              </w:rPr>
              <w:t>Kimia Organike p</w:t>
            </w:r>
            <w:r w:rsidRPr="00646004">
              <w:rPr>
                <w:sz w:val="22"/>
                <w:szCs w:val="22"/>
              </w:rPr>
              <w:t>ë</w:t>
            </w:r>
            <w:r>
              <w:rPr>
                <w:sz w:val="22"/>
                <w:szCs w:val="22"/>
              </w:rPr>
              <w:t xml:space="preserve">r </w:t>
            </w:r>
            <w:r>
              <w:rPr>
                <w:sz w:val="22"/>
                <w:szCs w:val="22"/>
              </w:rPr>
              <w:lastRenderedPageBreak/>
              <w:t>Shkencat e Jet</w:t>
            </w:r>
            <w:r w:rsidRPr="00646004">
              <w:rPr>
                <w:sz w:val="22"/>
                <w:szCs w:val="22"/>
              </w:rPr>
              <w:t>ë</w:t>
            </w:r>
            <w:r>
              <w:rPr>
                <w:sz w:val="22"/>
                <w:szCs w:val="22"/>
              </w:rPr>
              <w:t>s, 2019.</w:t>
            </w:r>
          </w:p>
          <w:p w:rsidR="00415DB0" w:rsidRPr="00750C1E" w:rsidRDefault="00415DB0" w:rsidP="0030127E">
            <w:pPr>
              <w:pStyle w:val="NoSpacing"/>
              <w:rPr>
                <w:rFonts w:ascii="Calibri" w:hAnsi="Calibri"/>
                <w:i/>
                <w:sz w:val="22"/>
                <w:szCs w:val="22"/>
              </w:rPr>
            </w:pPr>
          </w:p>
        </w:tc>
      </w:tr>
      <w:tr w:rsidR="00415DB0" w:rsidRPr="00193B66" w:rsidTr="0030127E">
        <w:tc>
          <w:tcPr>
            <w:tcW w:w="3617" w:type="dxa"/>
          </w:tcPr>
          <w:p w:rsidR="00415DB0" w:rsidRPr="00193B66" w:rsidRDefault="00415DB0" w:rsidP="0030127E">
            <w:pPr>
              <w:pStyle w:val="NoSpacing"/>
              <w:rPr>
                <w:rFonts w:ascii="Calibri" w:hAnsi="Calibri"/>
                <w:b/>
                <w:sz w:val="22"/>
                <w:szCs w:val="22"/>
              </w:rPr>
            </w:pPr>
            <w:r w:rsidRPr="00193B66">
              <w:rPr>
                <w:rFonts w:ascii="Calibri" w:hAnsi="Calibri"/>
                <w:b/>
                <w:sz w:val="22"/>
                <w:szCs w:val="22"/>
              </w:rPr>
              <w:lastRenderedPageBreak/>
              <w:t xml:space="preserve">Literatura shtesë:  </w:t>
            </w:r>
          </w:p>
        </w:tc>
        <w:tc>
          <w:tcPr>
            <w:tcW w:w="5239" w:type="dxa"/>
            <w:gridSpan w:val="3"/>
          </w:tcPr>
          <w:p w:rsidR="00415DB0" w:rsidRPr="00750C1E" w:rsidRDefault="00415DB0" w:rsidP="0030127E">
            <w:pPr>
              <w:pStyle w:val="NoSpacing"/>
              <w:numPr>
                <w:ilvl w:val="0"/>
                <w:numId w:val="3"/>
              </w:numPr>
              <w:rPr>
                <w:sz w:val="22"/>
                <w:szCs w:val="22"/>
              </w:rPr>
            </w:pPr>
            <w:r w:rsidRPr="00750C1E">
              <w:rPr>
                <w:sz w:val="22"/>
                <w:szCs w:val="22"/>
              </w:rPr>
              <w:t>Francis A. Carey, Organic Chemistry, McGraw Hill, New York, 8</w:t>
            </w:r>
            <w:r w:rsidRPr="00750C1E">
              <w:rPr>
                <w:sz w:val="22"/>
                <w:szCs w:val="22"/>
                <w:vertAlign w:val="superscript"/>
              </w:rPr>
              <w:t>th</w:t>
            </w:r>
            <w:r w:rsidRPr="00750C1E">
              <w:rPr>
                <w:sz w:val="22"/>
                <w:szCs w:val="22"/>
              </w:rPr>
              <w:t xml:space="preserve"> edition, 2010.</w:t>
            </w:r>
          </w:p>
          <w:p w:rsidR="00415DB0" w:rsidRPr="00750C1E" w:rsidRDefault="00415DB0" w:rsidP="0030127E">
            <w:pPr>
              <w:pStyle w:val="NoSpacing"/>
              <w:numPr>
                <w:ilvl w:val="0"/>
                <w:numId w:val="3"/>
              </w:numPr>
              <w:rPr>
                <w:sz w:val="22"/>
                <w:szCs w:val="22"/>
              </w:rPr>
            </w:pPr>
            <w:r w:rsidRPr="00750C1E">
              <w:rPr>
                <w:sz w:val="22"/>
                <w:szCs w:val="22"/>
              </w:rPr>
              <w:t>J.Clayden, N.Greeves, S.Warren, Organic Chemistry, Oxford University Press, Inc., New York, 2</w:t>
            </w:r>
            <w:r w:rsidRPr="00750C1E">
              <w:rPr>
                <w:sz w:val="22"/>
                <w:szCs w:val="22"/>
                <w:vertAlign w:val="superscript"/>
              </w:rPr>
              <w:t>nd</w:t>
            </w:r>
            <w:r w:rsidRPr="00750C1E">
              <w:rPr>
                <w:sz w:val="22"/>
                <w:szCs w:val="22"/>
              </w:rPr>
              <w:t xml:space="preserve"> edition, 2012.</w:t>
            </w:r>
          </w:p>
          <w:p w:rsidR="00415DB0" w:rsidRPr="00750C1E" w:rsidRDefault="00415DB0" w:rsidP="0030127E">
            <w:pPr>
              <w:pStyle w:val="NoSpacing"/>
              <w:numPr>
                <w:ilvl w:val="0"/>
                <w:numId w:val="3"/>
              </w:numPr>
              <w:rPr>
                <w:sz w:val="22"/>
                <w:szCs w:val="22"/>
              </w:rPr>
            </w:pPr>
            <w:r w:rsidRPr="00750C1E">
              <w:rPr>
                <w:sz w:val="22"/>
                <w:szCs w:val="22"/>
              </w:rPr>
              <w:t>K.Peter, C.Vollhardt, Neil E. Schore, Organic Chemistry, 6</w:t>
            </w:r>
            <w:r w:rsidRPr="00750C1E">
              <w:rPr>
                <w:sz w:val="22"/>
                <w:szCs w:val="22"/>
                <w:vertAlign w:val="superscript"/>
              </w:rPr>
              <w:t>th</w:t>
            </w:r>
            <w:r w:rsidRPr="00750C1E">
              <w:rPr>
                <w:sz w:val="22"/>
                <w:szCs w:val="22"/>
              </w:rPr>
              <w:t xml:space="preserve"> edition, New York, 2010.</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1380"/>
        <w:gridCol w:w="6948"/>
      </w:tblGrid>
      <w:tr w:rsidR="00F15509" w:rsidRPr="00193B66" w:rsidTr="0072612D">
        <w:tc>
          <w:tcPr>
            <w:tcW w:w="8856" w:type="dxa"/>
            <w:gridSpan w:val="3"/>
            <w:shd w:val="clear" w:color="auto" w:fill="D9D9D9"/>
          </w:tcPr>
          <w:p w:rsidR="00F15509" w:rsidRPr="00193B66" w:rsidRDefault="00F15509" w:rsidP="0030127E">
            <w:pPr>
              <w:rPr>
                <w:rFonts w:ascii="Calibri" w:hAnsi="Calibri"/>
                <w:b/>
              </w:rPr>
            </w:pPr>
            <w:r w:rsidRPr="00193B66">
              <w:rPr>
                <w:rFonts w:ascii="Calibri" w:hAnsi="Calibri"/>
                <w:b/>
                <w:sz w:val="22"/>
                <w:szCs w:val="22"/>
              </w:rPr>
              <w:t xml:space="preserve">Plani i dizejnuar i mësimit:  </w:t>
            </w:r>
          </w:p>
          <w:p w:rsidR="00F15509" w:rsidRPr="00193B66" w:rsidRDefault="00F15509" w:rsidP="0030127E">
            <w:pPr>
              <w:rPr>
                <w:rFonts w:ascii="Calibri" w:hAnsi="Calibri"/>
                <w:b/>
              </w:rPr>
            </w:pPr>
          </w:p>
        </w:tc>
      </w:tr>
      <w:tr w:rsidR="00F15509" w:rsidRPr="00193B66" w:rsidTr="0072612D">
        <w:tc>
          <w:tcPr>
            <w:tcW w:w="1908" w:type="dxa"/>
            <w:gridSpan w:val="2"/>
            <w:shd w:val="clear" w:color="auto" w:fill="D9D9D9"/>
          </w:tcPr>
          <w:p w:rsidR="00F15509" w:rsidRPr="00193B66" w:rsidRDefault="00F15509" w:rsidP="0030127E">
            <w:pPr>
              <w:rPr>
                <w:rFonts w:ascii="Calibri" w:hAnsi="Calibri"/>
                <w:b/>
              </w:rPr>
            </w:pPr>
            <w:r w:rsidRPr="00193B66">
              <w:rPr>
                <w:rFonts w:ascii="Calibri" w:hAnsi="Calibri"/>
                <w:b/>
                <w:sz w:val="22"/>
                <w:szCs w:val="22"/>
              </w:rPr>
              <w:t>Java</w:t>
            </w:r>
          </w:p>
        </w:tc>
        <w:tc>
          <w:tcPr>
            <w:tcW w:w="6948" w:type="dxa"/>
            <w:shd w:val="clear" w:color="auto" w:fill="D9D9D9"/>
          </w:tcPr>
          <w:p w:rsidR="00F15509" w:rsidRPr="00193B66" w:rsidRDefault="00F15509" w:rsidP="0030127E">
            <w:pPr>
              <w:rPr>
                <w:rFonts w:ascii="Calibri" w:hAnsi="Calibri"/>
                <w:b/>
              </w:rPr>
            </w:pPr>
            <w:r w:rsidRPr="00193B66">
              <w:rPr>
                <w:rFonts w:ascii="Calibri" w:hAnsi="Calibri"/>
                <w:b/>
                <w:sz w:val="22"/>
                <w:szCs w:val="22"/>
              </w:rPr>
              <w:t>Ligjerata që do të zhvillohet</w:t>
            </w:r>
          </w:p>
        </w:tc>
      </w:tr>
      <w:tr w:rsidR="00F15509" w:rsidRPr="00193B66" w:rsidTr="0072612D">
        <w:tc>
          <w:tcPr>
            <w:tcW w:w="1908" w:type="dxa"/>
            <w:gridSpan w:val="2"/>
          </w:tcPr>
          <w:p w:rsidR="00F15509" w:rsidRPr="00193B66" w:rsidRDefault="00F15509" w:rsidP="0030127E">
            <w:pPr>
              <w:rPr>
                <w:rFonts w:ascii="Calibri" w:hAnsi="Calibri"/>
                <w:b/>
              </w:rPr>
            </w:pPr>
            <w:r w:rsidRPr="00193B66">
              <w:rPr>
                <w:rFonts w:ascii="Calibri" w:hAnsi="Calibri"/>
                <w:b/>
                <w:i/>
                <w:sz w:val="22"/>
                <w:szCs w:val="22"/>
              </w:rPr>
              <w:t>Java e parë:</w:t>
            </w:r>
          </w:p>
        </w:tc>
        <w:tc>
          <w:tcPr>
            <w:tcW w:w="6948" w:type="dxa"/>
          </w:tcPr>
          <w:p w:rsidR="00F15509" w:rsidRPr="00193B66" w:rsidRDefault="00F15509" w:rsidP="0030127E">
            <w:pPr>
              <w:jc w:val="both"/>
              <w:rPr>
                <w:bCs/>
              </w:rPr>
            </w:pPr>
            <w:r w:rsidRPr="00193B66">
              <w:rPr>
                <w:bCs/>
                <w:sz w:val="22"/>
                <w:szCs w:val="22"/>
              </w:rPr>
              <w:t>Alkoolet dhe Tiolet - struktura, nomenklatura, vetitë fizike të alkooleve, burimet industrialet të alkooleve, gatitja, reaksionet e alkooleve, reaksionet që përfshijnë shkëputje të lidhjes C-OH, oksidimi i alkooleve, nomenklatura dhe vetitë e tioleve, gatitja dhe reaksionet e tioleve, vetitë spektroskopike të alkooleve, analiza kimike e alkooleve.</w:t>
            </w:r>
          </w:p>
        </w:tc>
      </w:tr>
      <w:tr w:rsidR="00F15509" w:rsidRPr="00193B66" w:rsidTr="0072612D">
        <w:tc>
          <w:tcPr>
            <w:tcW w:w="1908" w:type="dxa"/>
            <w:gridSpan w:val="2"/>
          </w:tcPr>
          <w:p w:rsidR="00F15509" w:rsidRPr="00193B66" w:rsidRDefault="00F15509" w:rsidP="0030127E">
            <w:pPr>
              <w:rPr>
                <w:rFonts w:ascii="Calibri" w:hAnsi="Calibri"/>
                <w:b/>
              </w:rPr>
            </w:pPr>
            <w:r w:rsidRPr="00193B66">
              <w:rPr>
                <w:rFonts w:ascii="Calibri" w:hAnsi="Calibri"/>
                <w:b/>
                <w:i/>
                <w:sz w:val="22"/>
                <w:szCs w:val="22"/>
              </w:rPr>
              <w:t>Java e dytë:</w:t>
            </w:r>
          </w:p>
        </w:tc>
        <w:tc>
          <w:tcPr>
            <w:tcW w:w="6948" w:type="dxa"/>
          </w:tcPr>
          <w:p w:rsidR="00F15509" w:rsidRPr="00193B66" w:rsidRDefault="00F15509" w:rsidP="0030127E">
            <w:pPr>
              <w:jc w:val="both"/>
              <w:rPr>
                <w:bCs/>
                <w:iCs/>
              </w:rPr>
            </w:pPr>
            <w:r w:rsidRPr="00193B66">
              <w:rPr>
                <w:bCs/>
                <w:iCs/>
                <w:sz w:val="22"/>
                <w:szCs w:val="22"/>
              </w:rPr>
              <w:t>Eteret dhe Epoksidet – struktura dhe nomenklatura e etereve, vetitë fizike, burimet industriale të etereve, gatitja, reaksionet e etereve, epoksidet, gatitja, reaksionet e epoksideve, analiza e etereve dhe epoksideve.</w:t>
            </w:r>
          </w:p>
        </w:tc>
      </w:tr>
      <w:tr w:rsidR="00F15509" w:rsidRPr="00193B66" w:rsidTr="0072612D">
        <w:tc>
          <w:tcPr>
            <w:tcW w:w="1908" w:type="dxa"/>
            <w:gridSpan w:val="2"/>
          </w:tcPr>
          <w:p w:rsidR="00F15509" w:rsidRPr="00193B66" w:rsidRDefault="00F15509" w:rsidP="0030127E">
            <w:pPr>
              <w:rPr>
                <w:rFonts w:ascii="Calibri" w:hAnsi="Calibri"/>
                <w:b/>
              </w:rPr>
            </w:pPr>
            <w:r w:rsidRPr="00193B66">
              <w:rPr>
                <w:rFonts w:ascii="Calibri" w:hAnsi="Calibri"/>
                <w:b/>
                <w:i/>
                <w:sz w:val="22"/>
                <w:szCs w:val="22"/>
              </w:rPr>
              <w:t>Java e tretë</w:t>
            </w:r>
            <w:r w:rsidRPr="00193B66">
              <w:rPr>
                <w:rFonts w:ascii="Calibri" w:hAnsi="Calibri"/>
                <w:b/>
                <w:sz w:val="22"/>
                <w:szCs w:val="22"/>
              </w:rPr>
              <w:t>:</w:t>
            </w:r>
          </w:p>
        </w:tc>
        <w:tc>
          <w:tcPr>
            <w:tcW w:w="6948" w:type="dxa"/>
          </w:tcPr>
          <w:p w:rsidR="00F15509" w:rsidRPr="00193B66" w:rsidRDefault="00F15509" w:rsidP="0030127E">
            <w:pPr>
              <w:jc w:val="both"/>
            </w:pPr>
            <w:r w:rsidRPr="00193B66">
              <w:rPr>
                <w:bCs/>
                <w:sz w:val="22"/>
                <w:szCs w:val="22"/>
              </w:rPr>
              <w:t>Aldehidet dhe Ketonet – struktura, nomenklatura, vetitë fizike, gatitja e aldehideve, gatitja e ketoneve, reaksionet e aldehideve dhe ketoneve, adicionimi nukleofil, adicionimi i cianurit të hidrogjenit.</w:t>
            </w:r>
          </w:p>
        </w:tc>
      </w:tr>
      <w:tr w:rsidR="00F15509" w:rsidRPr="00193B66" w:rsidTr="0072612D">
        <w:tc>
          <w:tcPr>
            <w:tcW w:w="1908" w:type="dxa"/>
            <w:gridSpan w:val="2"/>
          </w:tcPr>
          <w:p w:rsidR="00F15509" w:rsidRPr="00193B66" w:rsidRDefault="00F15509" w:rsidP="0030127E">
            <w:pPr>
              <w:rPr>
                <w:rFonts w:ascii="Calibri" w:hAnsi="Calibri"/>
                <w:b/>
              </w:rPr>
            </w:pPr>
            <w:r w:rsidRPr="00193B66">
              <w:rPr>
                <w:rFonts w:ascii="Calibri" w:hAnsi="Calibri"/>
                <w:b/>
                <w:i/>
                <w:sz w:val="22"/>
                <w:szCs w:val="22"/>
              </w:rPr>
              <w:t>Java e katërt:</w:t>
            </w:r>
          </w:p>
        </w:tc>
        <w:tc>
          <w:tcPr>
            <w:tcW w:w="6948" w:type="dxa"/>
          </w:tcPr>
          <w:p w:rsidR="00F15509" w:rsidRPr="00193B66" w:rsidRDefault="00F15509" w:rsidP="0030127E">
            <w:pPr>
              <w:jc w:val="both"/>
              <w:rPr>
                <w:bCs/>
              </w:rPr>
            </w:pPr>
            <w:r w:rsidRPr="00193B66">
              <w:rPr>
                <w:bCs/>
                <w:sz w:val="22"/>
                <w:szCs w:val="22"/>
              </w:rPr>
              <w:t>Adicionimi reagjentëve të Grignardit, adicionimi i bisulfiteve, adicionimi i derivateve të amoniakut, adicionimi i alkooleve – formimi i acetaleve, reaksionet që përfshijnë hidrogjenet, oksidimi i aldehideve dhe ketoneve, reduktimi i tyre, reaksioni i Cannizaros, vetitë spektrale të aldehideve dhe ketoneve.</w:t>
            </w:r>
          </w:p>
        </w:tc>
      </w:tr>
      <w:tr w:rsidR="00F15509" w:rsidRPr="00193B66" w:rsidTr="0072612D">
        <w:tc>
          <w:tcPr>
            <w:tcW w:w="1908" w:type="dxa"/>
            <w:gridSpan w:val="2"/>
          </w:tcPr>
          <w:p w:rsidR="00F15509" w:rsidRPr="00193B66" w:rsidRDefault="00F15509" w:rsidP="0030127E">
            <w:pPr>
              <w:rPr>
                <w:rFonts w:ascii="Calibri" w:hAnsi="Calibri"/>
                <w:b/>
              </w:rPr>
            </w:pPr>
            <w:r w:rsidRPr="00193B66">
              <w:rPr>
                <w:rFonts w:ascii="Calibri" w:hAnsi="Calibri"/>
                <w:b/>
                <w:i/>
                <w:sz w:val="22"/>
                <w:szCs w:val="22"/>
              </w:rPr>
              <w:t>Java e pestë:</w:t>
            </w:r>
            <w:r w:rsidRPr="00193B66">
              <w:rPr>
                <w:rFonts w:ascii="Calibri" w:hAnsi="Calibri"/>
                <w:b/>
                <w:sz w:val="22"/>
                <w:szCs w:val="22"/>
              </w:rPr>
              <w:t xml:space="preserve">  </w:t>
            </w:r>
          </w:p>
        </w:tc>
        <w:tc>
          <w:tcPr>
            <w:tcW w:w="6948" w:type="dxa"/>
          </w:tcPr>
          <w:p w:rsidR="00F15509" w:rsidRPr="00193B66" w:rsidRDefault="00F15509" w:rsidP="0030127E">
            <w:pPr>
              <w:jc w:val="both"/>
              <w:rPr>
                <w:bCs/>
                <w:iCs/>
              </w:rPr>
            </w:pPr>
            <w:r w:rsidRPr="00193B66">
              <w:rPr>
                <w:bCs/>
                <w:iCs/>
                <w:sz w:val="22"/>
                <w:szCs w:val="22"/>
              </w:rPr>
              <w:t>Acidet karboksilike – struktura, nomenklatura, vetitë fizike, gatitja, reaksionet, jonizimi i acideve karboksilike, konstanta e aciditetit, aciditeti dhe struktura molekulare, efekti i substituentëve në aciditet, efektet induktive, reaksionet në karbon karbonil, dekarboksilimi i acideve karboksilike, reaksionet që përfshijnë vargun hidrokarbonik të acideve,vetitë spektrale të acideve karboksilike.</w:t>
            </w:r>
          </w:p>
        </w:tc>
      </w:tr>
      <w:tr w:rsidR="00F15509" w:rsidRPr="00193B66" w:rsidTr="0072612D">
        <w:tc>
          <w:tcPr>
            <w:tcW w:w="1908" w:type="dxa"/>
            <w:gridSpan w:val="2"/>
          </w:tcPr>
          <w:p w:rsidR="00F15509" w:rsidRPr="00193B66" w:rsidRDefault="00F15509" w:rsidP="0030127E">
            <w:pPr>
              <w:rPr>
                <w:rFonts w:ascii="Calibri" w:hAnsi="Calibri"/>
                <w:b/>
              </w:rPr>
            </w:pPr>
            <w:r w:rsidRPr="00193B66">
              <w:rPr>
                <w:rFonts w:ascii="Calibri" w:hAnsi="Calibri"/>
                <w:b/>
                <w:i/>
                <w:sz w:val="22"/>
                <w:szCs w:val="22"/>
              </w:rPr>
              <w:t>Java e gjashtë</w:t>
            </w:r>
            <w:r w:rsidRPr="00193B66">
              <w:rPr>
                <w:rFonts w:ascii="Calibri" w:hAnsi="Calibri"/>
                <w:b/>
                <w:sz w:val="22"/>
                <w:szCs w:val="22"/>
              </w:rPr>
              <w:t>:</w:t>
            </w:r>
          </w:p>
        </w:tc>
        <w:tc>
          <w:tcPr>
            <w:tcW w:w="6948" w:type="dxa"/>
          </w:tcPr>
          <w:p w:rsidR="00F15509" w:rsidRPr="00193B66" w:rsidRDefault="00F15509" w:rsidP="0030127E">
            <w:pPr>
              <w:jc w:val="both"/>
            </w:pPr>
            <w:r w:rsidRPr="00193B66">
              <w:rPr>
                <w:sz w:val="22"/>
                <w:szCs w:val="22"/>
              </w:rPr>
              <w:t>Derivatet e acideve karboksilike – struktura, halogjenuret e acideve, gatitja dhe reaksionet e klorureve të acideve, anhidridet e acideve, gatitja e tyre, reaksionet e anhidrideve karboksilike, esteret, gatitja, reaksionet e estereve, amidet, gatitja, reaksionet, acidet dikarboksilike, derivatet e acidit karbonik, vetitë spektrale të derivateve të acideve karboksilike.</w:t>
            </w:r>
          </w:p>
        </w:tc>
      </w:tr>
      <w:tr w:rsidR="00F15509" w:rsidRPr="00193B66" w:rsidTr="0072612D">
        <w:tc>
          <w:tcPr>
            <w:tcW w:w="1908" w:type="dxa"/>
            <w:gridSpan w:val="2"/>
          </w:tcPr>
          <w:p w:rsidR="00F15509" w:rsidRPr="00193B66" w:rsidRDefault="00F15509" w:rsidP="0030127E">
            <w:pPr>
              <w:rPr>
                <w:rFonts w:ascii="Calibri" w:hAnsi="Calibri"/>
                <w:b/>
              </w:rPr>
            </w:pPr>
            <w:r w:rsidRPr="00193B66">
              <w:rPr>
                <w:rFonts w:ascii="Calibri" w:hAnsi="Calibri"/>
                <w:b/>
                <w:i/>
                <w:sz w:val="22"/>
                <w:szCs w:val="22"/>
              </w:rPr>
              <w:t>Java e shtatë:</w:t>
            </w:r>
            <w:r w:rsidRPr="00193B66">
              <w:rPr>
                <w:rFonts w:ascii="Calibri" w:hAnsi="Calibri"/>
                <w:b/>
                <w:sz w:val="22"/>
                <w:szCs w:val="22"/>
              </w:rPr>
              <w:t xml:space="preserve">  </w:t>
            </w:r>
          </w:p>
        </w:tc>
        <w:tc>
          <w:tcPr>
            <w:tcW w:w="6948" w:type="dxa"/>
          </w:tcPr>
          <w:p w:rsidR="00F15509" w:rsidRPr="00193B66" w:rsidRDefault="00F15509" w:rsidP="0030127E">
            <w:pPr>
              <w:jc w:val="both"/>
              <w:rPr>
                <w:bCs/>
                <w:iCs/>
              </w:rPr>
            </w:pPr>
            <w:r w:rsidRPr="00193B66">
              <w:rPr>
                <w:bCs/>
                <w:iCs/>
                <w:sz w:val="22"/>
                <w:szCs w:val="22"/>
              </w:rPr>
              <w:t>Aminat –  struktura, nomenklatura, vetitë fizike, baziteti i aminave, efekti i substituentëve në bazitet, gatitja e aminave, amonoliza e halogjenureve të alkileve, reduktimi i komponimeve të oksiduara të azotit, aminimi reduktiv, sinteza ftalimide e Gabrielit, degradimi Hofmann i amideve.</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t>Java e tetë:</w:t>
            </w:r>
            <w:r w:rsidRPr="00193B66">
              <w:rPr>
                <w:rFonts w:ascii="Calibri" w:hAnsi="Calibri"/>
                <w:b/>
                <w:sz w:val="22"/>
                <w:szCs w:val="22"/>
              </w:rPr>
              <w:t xml:space="preserve">  </w:t>
            </w:r>
          </w:p>
        </w:tc>
        <w:tc>
          <w:tcPr>
            <w:tcW w:w="6948" w:type="dxa"/>
          </w:tcPr>
          <w:p w:rsidR="00F15509" w:rsidRPr="00193B66" w:rsidRDefault="00F15509" w:rsidP="0030127E">
            <w:pPr>
              <w:jc w:val="both"/>
              <w:rPr>
                <w:bCs/>
                <w:iCs/>
              </w:rPr>
            </w:pPr>
            <w:r w:rsidRPr="00193B66">
              <w:rPr>
                <w:bCs/>
                <w:iCs/>
                <w:sz w:val="22"/>
                <w:szCs w:val="22"/>
              </w:rPr>
              <w:t>Reaksionet e halogjenureve të arilevet me sodamid në amoniak të lëngët, reaksionet e aminave, acilimi-formimi i amideve, reaksioni i aminave me acid nitror, nitrokomponimet, kripërat diazonium, reaksionet e zhvendosjes së grupit diazonium, reaksionet e kopulimit të kripërave diazonium, aminat që paraqiten në natyrë - alkaloidet, vetitë spektrale të aminave.</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t>Java e nëntë:</w:t>
            </w:r>
            <w:r w:rsidRPr="00193B66">
              <w:rPr>
                <w:rFonts w:ascii="Calibri" w:hAnsi="Calibri"/>
                <w:b/>
                <w:sz w:val="22"/>
                <w:szCs w:val="22"/>
              </w:rPr>
              <w:t xml:space="preserve">  </w:t>
            </w:r>
          </w:p>
        </w:tc>
        <w:tc>
          <w:tcPr>
            <w:tcW w:w="6948" w:type="dxa"/>
          </w:tcPr>
          <w:p w:rsidR="00F15509" w:rsidRPr="00193B66" w:rsidRDefault="00F15509" w:rsidP="0030127E">
            <w:pPr>
              <w:jc w:val="both"/>
            </w:pPr>
            <w:r w:rsidRPr="00193B66">
              <w:rPr>
                <w:sz w:val="22"/>
                <w:szCs w:val="22"/>
              </w:rPr>
              <w:t xml:space="preserve">Fenolet – nomenklatura, vetitë fizike, gatitja, reaksionet, aciditeti i fenoleve, formimi i estereve dhe etereve, reaksionet e unazës aromatike të fenoleve, </w:t>
            </w:r>
            <w:r w:rsidRPr="00193B66">
              <w:rPr>
                <w:sz w:val="22"/>
                <w:szCs w:val="22"/>
              </w:rPr>
              <w:lastRenderedPageBreak/>
              <w:t>reaksionet e Kolbes, Reimer-Teiman Gatremanit dhe Hoeschit, kinonet, gatitja e kinoneve, reaksionet e kinoneve, karakterizimi i fenoleve dhe kinoneve.</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lastRenderedPageBreak/>
              <w:t>Java e dhjetë:</w:t>
            </w:r>
          </w:p>
        </w:tc>
        <w:tc>
          <w:tcPr>
            <w:tcW w:w="6948" w:type="dxa"/>
          </w:tcPr>
          <w:p w:rsidR="00F15509" w:rsidRPr="00193B66" w:rsidRDefault="00F15509" w:rsidP="0030127E">
            <w:pPr>
              <w:jc w:val="both"/>
            </w:pPr>
            <w:r w:rsidRPr="00193B66">
              <w:rPr>
                <w:sz w:val="22"/>
                <w:szCs w:val="22"/>
              </w:rPr>
              <w:t xml:space="preserve">Halogjenuret e arilevet – vetitë fizike, gatitja, reaksionet, substituimi nukleofil aromatik. Komponimet aromatike polinukleare – nomenklatura, naftaleni, sinteza, reaksionet e naftalenit, naftolet, orientimii substituimit elektrofil në derivate të naftalenit, antraceni dhe fenantreni, reaksionet, komponimet tjera polinukleare. </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t>Java e njëmbedhjetë</w:t>
            </w:r>
            <w:r w:rsidRPr="00193B66">
              <w:rPr>
                <w:rFonts w:ascii="Calibri" w:hAnsi="Calibri"/>
                <w:b/>
                <w:sz w:val="22"/>
                <w:szCs w:val="22"/>
              </w:rPr>
              <w:t>:</w:t>
            </w:r>
          </w:p>
        </w:tc>
        <w:tc>
          <w:tcPr>
            <w:tcW w:w="6948" w:type="dxa"/>
          </w:tcPr>
          <w:p w:rsidR="00F15509" w:rsidRPr="00193B66" w:rsidRDefault="00F15509" w:rsidP="0030127E">
            <w:pPr>
              <w:jc w:val="both"/>
            </w:pPr>
            <w:r w:rsidRPr="00193B66">
              <w:rPr>
                <w:sz w:val="22"/>
                <w:szCs w:val="22"/>
              </w:rPr>
              <w:t xml:space="preserve">Komponimet heterociklike – nomenklatura, heterociklet pesë-antarëshe, sinteza e tyre, reaksionet e pirrolit, furanit dhe tiofenit, heterociklet gjashtë-antarëshe, piridina, sinteza e tyre, reaksionet e piridineve, unazat e kondenzuara, kinolina dhe izokinolina, sinteza e tyre, reaksionet e kinolinës dhe izokinolinës. </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t>Java e dymbëdhjetë</w:t>
            </w:r>
            <w:r w:rsidRPr="00193B66">
              <w:rPr>
                <w:rFonts w:ascii="Calibri" w:hAnsi="Calibri"/>
                <w:b/>
                <w:sz w:val="22"/>
                <w:szCs w:val="22"/>
              </w:rPr>
              <w:t xml:space="preserve">:  </w:t>
            </w:r>
          </w:p>
        </w:tc>
        <w:tc>
          <w:tcPr>
            <w:tcW w:w="6948" w:type="dxa"/>
          </w:tcPr>
          <w:p w:rsidR="00F15509" w:rsidRPr="00193B66" w:rsidRDefault="00F15509" w:rsidP="0030127E">
            <w:pPr>
              <w:jc w:val="both"/>
            </w:pPr>
            <w:r w:rsidRPr="00193B66">
              <w:rPr>
                <w:sz w:val="22"/>
                <w:szCs w:val="22"/>
              </w:rPr>
              <w:t>Lipidet – acidet yndyrore dhe trigliceridet, ca reaksione të lyrave dhe vajrave, hidrogjenimi i lyrave dhe vajrave dhe funksioni i tyre biologjik, sapunet dhe detergjentet, fosfolipidet, dyllrat. Karbohidratet – klasifikimi i tyre, stereokimia dhe nocioni konfiguracional i sheqerërave, hemiacetalet ciklike: anomerizmi, mutarrotacioni.</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t>Java e trembëdhjetë</w:t>
            </w:r>
            <w:r w:rsidRPr="00193B66">
              <w:rPr>
                <w:rFonts w:ascii="Calibri" w:hAnsi="Calibri"/>
                <w:b/>
                <w:sz w:val="22"/>
                <w:szCs w:val="22"/>
              </w:rPr>
              <w:t xml:space="preserve">:    </w:t>
            </w:r>
          </w:p>
        </w:tc>
        <w:tc>
          <w:tcPr>
            <w:tcW w:w="6948" w:type="dxa"/>
          </w:tcPr>
          <w:p w:rsidR="00F15509" w:rsidRPr="00193B66" w:rsidRDefault="00F15509" w:rsidP="0030127E">
            <w:pPr>
              <w:jc w:val="both"/>
            </w:pPr>
            <w:r w:rsidRPr="00193B66">
              <w:rPr>
                <w:sz w:val="22"/>
                <w:szCs w:val="22"/>
              </w:rPr>
              <w:t xml:space="preserve">Glukozidet, reaksionet e monosakarideve, reaksionet e oksidimit të monosakarideve, reduktimi i tyre, reaksionet e grupeve hidroksile të monosakarideve, konformacioni i karbohidrateve, reaksionet e grupit karbonil të monosakarideve, sinteza dhe degradimi i monosakarideve, stereokimia relative e tyre, vërtetimi i Fischerit, disakaridet, polisakaridet, celuloza, amidoni, glikogjeni. </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t>Java e katërmbëdhjetë</w:t>
            </w:r>
            <w:r w:rsidRPr="00193B66">
              <w:rPr>
                <w:rFonts w:ascii="Calibri" w:hAnsi="Calibri"/>
                <w:b/>
                <w:sz w:val="22"/>
                <w:szCs w:val="22"/>
              </w:rPr>
              <w:t xml:space="preserve">:  </w:t>
            </w:r>
          </w:p>
        </w:tc>
        <w:tc>
          <w:tcPr>
            <w:tcW w:w="6948" w:type="dxa"/>
          </w:tcPr>
          <w:p w:rsidR="00F15509" w:rsidRPr="00193B66" w:rsidRDefault="00F15509" w:rsidP="0030127E">
            <w:pPr>
              <w:jc w:val="both"/>
            </w:pPr>
            <w:r w:rsidRPr="00193B66">
              <w:rPr>
                <w:sz w:val="22"/>
                <w:szCs w:val="22"/>
              </w:rPr>
              <w:t xml:space="preserve">Aminoacidet dhe proteinet – struktura, nomenklatura dhe vetitë fizike të aminoacideve, sinteza laboratorike e </w:t>
            </w:r>
            <w:r w:rsidRPr="00193B66">
              <w:rPr>
                <w:sz w:val="22"/>
                <w:szCs w:val="22"/>
                <w:lang w:val="it-IT"/>
              </w:rPr>
              <w:t>α</w:t>
            </w:r>
            <w:r w:rsidRPr="00193B66">
              <w:rPr>
                <w:sz w:val="22"/>
                <w:szCs w:val="22"/>
              </w:rPr>
              <w:t>-aminoacideve, zbërthimi i DL-aminoacideve, reaksionet, peptidet, proteinet, struktura e proteineve, struktura sekondare dhe terciare e proteineve, proteinet e konjuguara, grupet prostetike dhe kofaktorët, enzimet.</w:t>
            </w:r>
          </w:p>
        </w:tc>
      </w:tr>
      <w:tr w:rsidR="00F15509" w:rsidRPr="00193B66" w:rsidTr="0072612D">
        <w:tc>
          <w:tcPr>
            <w:tcW w:w="1908" w:type="dxa"/>
            <w:gridSpan w:val="2"/>
          </w:tcPr>
          <w:p w:rsidR="00F15509" w:rsidRPr="00193B66" w:rsidRDefault="00F15509" w:rsidP="0030127E">
            <w:pPr>
              <w:rPr>
                <w:rFonts w:ascii="Calibri" w:hAnsi="Calibri"/>
                <w:b/>
                <w:i/>
              </w:rPr>
            </w:pPr>
            <w:r w:rsidRPr="00193B66">
              <w:rPr>
                <w:rFonts w:ascii="Calibri" w:hAnsi="Calibri"/>
                <w:b/>
                <w:i/>
                <w:sz w:val="22"/>
                <w:szCs w:val="22"/>
              </w:rPr>
              <w:t>Java e pesëmbëdhjetë</w:t>
            </w:r>
            <w:r w:rsidRPr="00193B66">
              <w:rPr>
                <w:rFonts w:ascii="Calibri" w:hAnsi="Calibri"/>
                <w:b/>
                <w:sz w:val="22"/>
                <w:szCs w:val="22"/>
              </w:rPr>
              <w:t xml:space="preserve">:   </w:t>
            </w:r>
          </w:p>
        </w:tc>
        <w:tc>
          <w:tcPr>
            <w:tcW w:w="6948" w:type="dxa"/>
          </w:tcPr>
          <w:p w:rsidR="00F15509" w:rsidRPr="00193B66" w:rsidRDefault="00F15509" w:rsidP="0030127E">
            <w:pPr>
              <w:jc w:val="both"/>
              <w:rPr>
                <w:lang w:val="it-IT"/>
              </w:rPr>
            </w:pPr>
            <w:r w:rsidRPr="00193B66">
              <w:rPr>
                <w:sz w:val="22"/>
                <w:szCs w:val="22"/>
                <w:lang w:val="it-IT"/>
              </w:rPr>
              <w:t>Acidet nukleike – struktura e ADN, replikimi i ADN, struktura e ARN.</w:t>
            </w:r>
          </w:p>
        </w:tc>
      </w:tr>
      <w:tr w:rsidR="0072612D" w:rsidRPr="00584FA0" w:rsidTr="0072612D">
        <w:tblPrEx>
          <w:tblLook w:val="04A0"/>
        </w:tblPrEx>
        <w:tc>
          <w:tcPr>
            <w:tcW w:w="8856" w:type="dxa"/>
            <w:gridSpan w:val="3"/>
            <w:shd w:val="clear" w:color="auto" w:fill="D9D9D9" w:themeFill="background1" w:themeFillShade="D9"/>
          </w:tcPr>
          <w:p w:rsidR="0072612D" w:rsidRPr="00494362" w:rsidRDefault="0072612D" w:rsidP="004C7FD6">
            <w:pPr>
              <w:rPr>
                <w:rFonts w:ascii="Calibri" w:hAnsi="Calibri"/>
                <w:b/>
              </w:rPr>
            </w:pPr>
            <w:r w:rsidRPr="00777D28">
              <w:rPr>
                <w:rFonts w:ascii="Calibri" w:hAnsi="Calibri"/>
                <w:b/>
              </w:rPr>
              <w:t xml:space="preserve">Plani i dizejnuar i mësimit:  </w:t>
            </w:r>
          </w:p>
        </w:tc>
      </w:tr>
      <w:tr w:rsidR="0072612D" w:rsidRPr="00584FA0" w:rsidTr="0072612D">
        <w:tblPrEx>
          <w:tblLook w:val="04A0"/>
        </w:tblPrEx>
        <w:tc>
          <w:tcPr>
            <w:tcW w:w="8856" w:type="dxa"/>
            <w:gridSpan w:val="3"/>
            <w:tcBorders>
              <w:left w:val="single" w:sz="4" w:space="0" w:color="auto"/>
            </w:tcBorders>
            <w:shd w:val="clear" w:color="auto" w:fill="D9D9D9" w:themeFill="background1" w:themeFillShade="D9"/>
          </w:tcPr>
          <w:p w:rsidR="0072612D" w:rsidRPr="00494362" w:rsidRDefault="0072612D" w:rsidP="004C7FD6">
            <w:pPr>
              <w:jc w:val="center"/>
              <w:rPr>
                <w:b/>
                <w:highlight w:val="lightGray"/>
              </w:rPr>
            </w:pPr>
            <w:r>
              <w:rPr>
                <w:b/>
                <w:sz w:val="22"/>
                <w:szCs w:val="22"/>
              </w:rPr>
              <w:t>Ushtrimet laboratorike</w:t>
            </w:r>
          </w:p>
        </w:tc>
      </w:tr>
      <w:tr w:rsidR="0072612D" w:rsidRPr="00584FA0" w:rsidTr="0072612D">
        <w:tblPrEx>
          <w:tblLook w:val="04A0"/>
        </w:tblPrEx>
        <w:tc>
          <w:tcPr>
            <w:tcW w:w="528" w:type="dxa"/>
            <w:tcBorders>
              <w:left w:val="single" w:sz="4" w:space="0" w:color="auto"/>
              <w:right w:val="single" w:sz="4" w:space="0" w:color="auto"/>
            </w:tcBorders>
          </w:tcPr>
          <w:p w:rsidR="0072612D" w:rsidRPr="00494362" w:rsidRDefault="0072612D" w:rsidP="004C7FD6">
            <w:pPr>
              <w:rPr>
                <w:b/>
              </w:rPr>
            </w:pPr>
            <w:r w:rsidRPr="00494362">
              <w:rPr>
                <w:b/>
                <w:sz w:val="22"/>
                <w:szCs w:val="22"/>
              </w:rPr>
              <w:t>1.</w:t>
            </w:r>
          </w:p>
        </w:tc>
        <w:tc>
          <w:tcPr>
            <w:tcW w:w="8328" w:type="dxa"/>
            <w:gridSpan w:val="2"/>
            <w:tcBorders>
              <w:left w:val="single" w:sz="4" w:space="0" w:color="auto"/>
            </w:tcBorders>
          </w:tcPr>
          <w:p w:rsidR="00E86F04" w:rsidRPr="009749E6" w:rsidRDefault="0072612D" w:rsidP="0072612D">
            <w:pPr>
              <w:rPr>
                <w:lang w:val="it-IT"/>
              </w:rPr>
            </w:pPr>
            <w:r>
              <w:rPr>
                <w:lang w:val="it-IT"/>
              </w:rPr>
              <w:t>P</w:t>
            </w:r>
            <w:r w:rsidRPr="000163F4">
              <w:rPr>
                <w:lang w:val="it-IT"/>
              </w:rPr>
              <w:t xml:space="preserve">rezentimi </w:t>
            </w:r>
            <w:r>
              <w:rPr>
                <w:lang w:val="it-IT"/>
              </w:rPr>
              <w:t xml:space="preserve">i syllabusit, </w:t>
            </w:r>
            <w:r w:rsidR="009749E6">
              <w:rPr>
                <w:lang w:val="it-IT"/>
              </w:rPr>
              <w:t>rekapitulim i metodave t</w:t>
            </w:r>
            <w:r w:rsidR="009749E6" w:rsidRPr="009749E6">
              <w:rPr>
                <w:lang w:val="it-IT"/>
              </w:rPr>
              <w:t>ë</w:t>
            </w:r>
            <w:r w:rsidR="009749E6">
              <w:rPr>
                <w:lang w:val="it-IT"/>
              </w:rPr>
              <w:t xml:space="preserve"> m</w:t>
            </w:r>
            <w:r w:rsidR="009749E6" w:rsidRPr="009749E6">
              <w:rPr>
                <w:lang w:val="it-IT"/>
              </w:rPr>
              <w:t>ë</w:t>
            </w:r>
            <w:r w:rsidR="009749E6">
              <w:rPr>
                <w:lang w:val="it-IT"/>
              </w:rPr>
              <w:t>suara n</w:t>
            </w:r>
            <w:r w:rsidR="009749E6" w:rsidRPr="009749E6">
              <w:rPr>
                <w:lang w:val="it-IT"/>
              </w:rPr>
              <w:t>ë</w:t>
            </w:r>
            <w:r w:rsidR="009749E6">
              <w:rPr>
                <w:lang w:val="it-IT"/>
              </w:rPr>
              <w:t xml:space="preserve"> ciklin e par</w:t>
            </w:r>
            <w:r w:rsidR="009749E6" w:rsidRPr="009749E6">
              <w:rPr>
                <w:lang w:val="it-IT"/>
              </w:rPr>
              <w:t>ë</w:t>
            </w:r>
            <w:r w:rsidR="009749E6">
              <w:rPr>
                <w:lang w:val="it-IT"/>
              </w:rPr>
              <w:t>.</w:t>
            </w:r>
          </w:p>
        </w:tc>
      </w:tr>
      <w:tr w:rsidR="0072612D" w:rsidRPr="00584FA0" w:rsidTr="0072612D">
        <w:tblPrEx>
          <w:tblLook w:val="04A0"/>
        </w:tblPrEx>
        <w:tc>
          <w:tcPr>
            <w:tcW w:w="528" w:type="dxa"/>
            <w:tcBorders>
              <w:left w:val="single" w:sz="4" w:space="0" w:color="auto"/>
              <w:right w:val="single" w:sz="4" w:space="0" w:color="auto"/>
            </w:tcBorders>
          </w:tcPr>
          <w:p w:rsidR="0072612D" w:rsidRPr="00494362" w:rsidRDefault="0072612D" w:rsidP="004C7FD6">
            <w:pPr>
              <w:rPr>
                <w:b/>
              </w:rPr>
            </w:pPr>
            <w:r w:rsidRPr="00494362">
              <w:rPr>
                <w:b/>
                <w:sz w:val="22"/>
                <w:szCs w:val="22"/>
              </w:rPr>
              <w:t>2.</w:t>
            </w:r>
          </w:p>
        </w:tc>
        <w:tc>
          <w:tcPr>
            <w:tcW w:w="8328" w:type="dxa"/>
            <w:gridSpan w:val="2"/>
            <w:tcBorders>
              <w:left w:val="single" w:sz="4" w:space="0" w:color="auto"/>
            </w:tcBorders>
          </w:tcPr>
          <w:p w:rsidR="0072612D" w:rsidRPr="00584FA0" w:rsidRDefault="00083F0E" w:rsidP="004C7FD6">
            <w:pPr>
              <w:rPr>
                <w:b/>
                <w:i/>
              </w:rPr>
            </w:pPr>
            <w:r w:rsidRPr="001A5E28">
              <w:rPr>
                <w:lang w:val="it-IT"/>
              </w:rPr>
              <w:t xml:space="preserve">Reaksionet kimike te hidrokarbureve aromatike, Veprimi i tretesires se bromit ne benzene, Veprimi </w:t>
            </w:r>
            <w:r>
              <w:rPr>
                <w:lang w:val="it-IT"/>
              </w:rPr>
              <w:t>i</w:t>
            </w:r>
            <w:r w:rsidRPr="001A5E28">
              <w:rPr>
                <w:lang w:val="it-IT"/>
              </w:rPr>
              <w:t xml:space="preserve"> tretesires se permanganatit te kaliumit ne benzene, perfitimi </w:t>
            </w:r>
            <w:r>
              <w:rPr>
                <w:lang w:val="it-IT"/>
              </w:rPr>
              <w:t>i</w:t>
            </w:r>
            <w:r w:rsidRPr="001A5E28">
              <w:rPr>
                <w:lang w:val="it-IT"/>
              </w:rPr>
              <w:t xml:space="preserve"> nitrobenzenit, perfitimi </w:t>
            </w:r>
            <w:r>
              <w:rPr>
                <w:lang w:val="it-IT"/>
              </w:rPr>
              <w:t>i</w:t>
            </w:r>
            <w:r w:rsidRPr="001A5E28">
              <w:rPr>
                <w:lang w:val="it-IT"/>
              </w:rPr>
              <w:t xml:space="preserve"> m-dinitrobenzenit.</w:t>
            </w:r>
          </w:p>
        </w:tc>
      </w:tr>
      <w:tr w:rsidR="0072612D" w:rsidRPr="00584FA0" w:rsidTr="0072612D">
        <w:tblPrEx>
          <w:tblLook w:val="04A0"/>
        </w:tblPrEx>
        <w:tc>
          <w:tcPr>
            <w:tcW w:w="528" w:type="dxa"/>
            <w:tcBorders>
              <w:left w:val="single" w:sz="4" w:space="0" w:color="auto"/>
              <w:right w:val="single" w:sz="4" w:space="0" w:color="auto"/>
            </w:tcBorders>
          </w:tcPr>
          <w:p w:rsidR="0072612D" w:rsidRPr="00494362" w:rsidRDefault="0072612D" w:rsidP="004C7FD6">
            <w:pPr>
              <w:rPr>
                <w:b/>
              </w:rPr>
            </w:pPr>
            <w:r w:rsidRPr="00494362">
              <w:rPr>
                <w:b/>
                <w:sz w:val="22"/>
                <w:szCs w:val="22"/>
              </w:rPr>
              <w:t>3.</w:t>
            </w:r>
          </w:p>
        </w:tc>
        <w:tc>
          <w:tcPr>
            <w:tcW w:w="8328" w:type="dxa"/>
            <w:gridSpan w:val="2"/>
            <w:tcBorders>
              <w:left w:val="single" w:sz="4" w:space="0" w:color="auto"/>
            </w:tcBorders>
          </w:tcPr>
          <w:p w:rsidR="0072612D" w:rsidRPr="00584FA0" w:rsidRDefault="00083F0E" w:rsidP="004C7FD6">
            <w:pPr>
              <w:rPr>
                <w:b/>
                <w:i/>
              </w:rPr>
            </w:pPr>
            <w:r>
              <w:rPr>
                <w:lang w:val="it-IT"/>
              </w:rPr>
              <w:t>Alkoolet, Reaksionet kimike te alkooleve, ndezshmeria, tretshmeria, Kriposja, tharja e alkooleve, dehidratimi i alkooleve, Testi i Lukasit, Dehidratimi i alkooleve polihidrooksilike, Reaksioni me hidroksid natriumi, Reaksioni me natrium metalik, Reaksioni i esterifikimit, Reaksioni i oksidimit te alkooleve me dikromatkaliumi. Reaksioni i jodoformit.</w:t>
            </w:r>
          </w:p>
        </w:tc>
      </w:tr>
      <w:tr w:rsidR="0072612D" w:rsidRPr="00584FA0" w:rsidTr="0072612D">
        <w:tblPrEx>
          <w:tblLook w:val="04A0"/>
        </w:tblPrEx>
        <w:tc>
          <w:tcPr>
            <w:tcW w:w="528" w:type="dxa"/>
            <w:tcBorders>
              <w:left w:val="single" w:sz="4" w:space="0" w:color="auto"/>
              <w:right w:val="single" w:sz="4" w:space="0" w:color="auto"/>
            </w:tcBorders>
          </w:tcPr>
          <w:p w:rsidR="0072612D" w:rsidRPr="00494362" w:rsidRDefault="0072612D" w:rsidP="004C7FD6">
            <w:pPr>
              <w:rPr>
                <w:b/>
              </w:rPr>
            </w:pPr>
            <w:r w:rsidRPr="00494362">
              <w:rPr>
                <w:b/>
                <w:sz w:val="22"/>
                <w:szCs w:val="22"/>
              </w:rPr>
              <w:t>4.</w:t>
            </w:r>
          </w:p>
        </w:tc>
        <w:tc>
          <w:tcPr>
            <w:tcW w:w="8328" w:type="dxa"/>
            <w:gridSpan w:val="2"/>
            <w:tcBorders>
              <w:left w:val="single" w:sz="4" w:space="0" w:color="auto"/>
            </w:tcBorders>
          </w:tcPr>
          <w:p w:rsidR="0072612D" w:rsidRPr="000D6650" w:rsidRDefault="00083F0E" w:rsidP="004C7FD6">
            <w:pPr>
              <w:jc w:val="both"/>
              <w:rPr>
                <w:lang w:val="it-IT"/>
              </w:rPr>
            </w:pPr>
            <w:r>
              <w:rPr>
                <w:lang w:val="it-IT"/>
              </w:rPr>
              <w:t xml:space="preserve">Aldehidet dhe ketonet, Reduktimi i tretesires se Tolensit, Reduktimi i tretesires se Felingut, Redukti mi i tretesires se Benedict-it, Krahasimi i shpejtesise se oksidimit te aldehideve dhe te ketoneve, Reaksioni i Cannizzaros, Rekasioni Haloform, Reaksionet e adicionimit ne grupin karbonil, Reaksioni me bisulfit natriumi, Reaksioni me hidroksilamine, Reaksioni me fenilhidrazine, Reaksionet e kondenzimit dhe polimerizimit, Reaksioni me tretesire te holluar dhe te perqendruar </w:t>
            </w:r>
            <w:r>
              <w:rPr>
                <w:lang w:val="it-IT"/>
              </w:rPr>
              <w:lastRenderedPageBreak/>
              <w:t>te NaOH, Reaksioni i polimerizimit te acetaldehidit.</w:t>
            </w:r>
          </w:p>
        </w:tc>
      </w:tr>
      <w:tr w:rsidR="0072612D" w:rsidRPr="00584FA0" w:rsidTr="0072612D">
        <w:tblPrEx>
          <w:tblLook w:val="04A0"/>
        </w:tblPrEx>
        <w:trPr>
          <w:trHeight w:val="275"/>
        </w:trPr>
        <w:tc>
          <w:tcPr>
            <w:tcW w:w="528" w:type="dxa"/>
            <w:tcBorders>
              <w:left w:val="single" w:sz="4" w:space="0" w:color="auto"/>
              <w:right w:val="single" w:sz="4" w:space="0" w:color="auto"/>
            </w:tcBorders>
          </w:tcPr>
          <w:p w:rsidR="0072612D" w:rsidRPr="00494362" w:rsidRDefault="0072612D" w:rsidP="004C7FD6">
            <w:pPr>
              <w:rPr>
                <w:b/>
              </w:rPr>
            </w:pPr>
            <w:r w:rsidRPr="00494362">
              <w:rPr>
                <w:b/>
                <w:sz w:val="22"/>
                <w:szCs w:val="22"/>
              </w:rPr>
              <w:lastRenderedPageBreak/>
              <w:t>5.</w:t>
            </w:r>
          </w:p>
        </w:tc>
        <w:tc>
          <w:tcPr>
            <w:tcW w:w="8328" w:type="dxa"/>
            <w:gridSpan w:val="2"/>
            <w:tcBorders>
              <w:left w:val="single" w:sz="4" w:space="0" w:color="auto"/>
            </w:tcBorders>
          </w:tcPr>
          <w:p w:rsidR="0072612D" w:rsidRPr="000D6650" w:rsidRDefault="00083F0E" w:rsidP="004C7FD6">
            <w:pPr>
              <w:jc w:val="both"/>
              <w:rPr>
                <w:lang w:val="it-IT"/>
              </w:rPr>
            </w:pPr>
            <w:r>
              <w:rPr>
                <w:lang w:val="it-IT"/>
              </w:rPr>
              <w:t>Acidet karboksilike, Reaksionet e acideve karboksilike me baze, reaksioni me bikarbonat natriumi, Reaksioni i perfitimit te klorureve te acideve, Reaksioni i klorureve te acideve me alkooleve, Reaksioni i klorureve te acileve me amina, Reaksioni i hidrolizes se anhidrureve te acideve, Reaksioni i anhidrureve me alkoole.</w:t>
            </w:r>
          </w:p>
        </w:tc>
      </w:tr>
      <w:tr w:rsidR="0072612D" w:rsidRPr="00584FA0" w:rsidTr="0072612D">
        <w:tblPrEx>
          <w:tblLook w:val="04A0"/>
        </w:tblPrEx>
        <w:tc>
          <w:tcPr>
            <w:tcW w:w="528" w:type="dxa"/>
            <w:tcBorders>
              <w:left w:val="single" w:sz="4" w:space="0" w:color="auto"/>
              <w:right w:val="single" w:sz="4" w:space="0" w:color="auto"/>
            </w:tcBorders>
          </w:tcPr>
          <w:p w:rsidR="0072612D" w:rsidRPr="00494362" w:rsidRDefault="0072612D" w:rsidP="004C7FD6">
            <w:pPr>
              <w:rPr>
                <w:b/>
              </w:rPr>
            </w:pPr>
            <w:r w:rsidRPr="00494362">
              <w:rPr>
                <w:b/>
                <w:sz w:val="22"/>
                <w:szCs w:val="22"/>
              </w:rPr>
              <w:t>6.</w:t>
            </w:r>
          </w:p>
        </w:tc>
        <w:tc>
          <w:tcPr>
            <w:tcW w:w="8328" w:type="dxa"/>
            <w:gridSpan w:val="2"/>
            <w:tcBorders>
              <w:left w:val="single" w:sz="4" w:space="0" w:color="auto"/>
            </w:tcBorders>
          </w:tcPr>
          <w:p w:rsidR="0072612D" w:rsidRPr="000D6650" w:rsidRDefault="00083F0E" w:rsidP="004C7FD6">
            <w:pPr>
              <w:jc w:val="both"/>
              <w:rPr>
                <w:lang w:val="it-IT"/>
              </w:rPr>
            </w:pPr>
            <w:r>
              <w:rPr>
                <w:lang w:val="it-IT"/>
              </w:rPr>
              <w:t>Aminat, Reduktimi i nitrokomponimeve, Tretshmeria e aminave dhe formimi i kriprave, Acetilderivatet e aminave aromatike primare dhe sekondare, Proveza e izocianateve ne amine primare, Reaksioni i aminave me acid nitrik, Reaksioni i bromimit te anilines.</w:t>
            </w:r>
          </w:p>
        </w:tc>
      </w:tr>
      <w:tr w:rsidR="00083F0E" w:rsidRPr="00584FA0" w:rsidTr="0072612D">
        <w:tblPrEx>
          <w:tblLook w:val="04A0"/>
        </w:tblPrEx>
        <w:trPr>
          <w:trHeight w:val="260"/>
        </w:trPr>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7.</w:t>
            </w:r>
          </w:p>
        </w:tc>
        <w:tc>
          <w:tcPr>
            <w:tcW w:w="8328" w:type="dxa"/>
            <w:gridSpan w:val="2"/>
            <w:tcBorders>
              <w:left w:val="single" w:sz="4" w:space="0" w:color="auto"/>
            </w:tcBorders>
          </w:tcPr>
          <w:p w:rsidR="00083F0E" w:rsidRPr="000D6650" w:rsidRDefault="00083F0E" w:rsidP="00083F0E">
            <w:pPr>
              <w:rPr>
                <w:lang w:val="it-IT"/>
              </w:rPr>
            </w:pPr>
            <w:r>
              <w:rPr>
                <w:lang w:val="it-IT"/>
              </w:rPr>
              <w:t>Fenolet, Reaksionet karakteristike per fenole, Reaksioni i fenolit me klorur ferik, Reaksioni i fenolit me tretesire ujore te bromit.</w:t>
            </w:r>
          </w:p>
        </w:tc>
      </w:tr>
      <w:tr w:rsidR="00083F0E" w:rsidRPr="00584FA0" w:rsidTr="0072612D">
        <w:tblPrEx>
          <w:tblLook w:val="04A0"/>
        </w:tblPrEx>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8.</w:t>
            </w:r>
          </w:p>
        </w:tc>
        <w:tc>
          <w:tcPr>
            <w:tcW w:w="8328" w:type="dxa"/>
            <w:gridSpan w:val="2"/>
            <w:tcBorders>
              <w:left w:val="single" w:sz="4" w:space="0" w:color="auto"/>
            </w:tcBorders>
          </w:tcPr>
          <w:p w:rsidR="00083F0E" w:rsidRPr="000D6650" w:rsidRDefault="00083F0E" w:rsidP="00083F0E">
            <w:pPr>
              <w:jc w:val="both"/>
              <w:rPr>
                <w:lang w:val="it-IT"/>
              </w:rPr>
            </w:pPr>
            <w:r>
              <w:rPr>
                <w:lang w:val="it-IT"/>
              </w:rPr>
              <w:t>Tretesit organik, Pastrimi dhe tharja e treteseve te rendomte, Diklormetani, Etanoli, Etilacetati, Piridina.</w:t>
            </w:r>
          </w:p>
        </w:tc>
      </w:tr>
      <w:tr w:rsidR="00083F0E" w:rsidRPr="00584FA0" w:rsidTr="0072612D">
        <w:tblPrEx>
          <w:tblLook w:val="04A0"/>
        </w:tblPrEx>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9.</w:t>
            </w:r>
          </w:p>
        </w:tc>
        <w:tc>
          <w:tcPr>
            <w:tcW w:w="8328" w:type="dxa"/>
            <w:gridSpan w:val="2"/>
            <w:tcBorders>
              <w:left w:val="single" w:sz="4" w:space="0" w:color="auto"/>
            </w:tcBorders>
          </w:tcPr>
          <w:p w:rsidR="00083F0E" w:rsidRPr="000D6650" w:rsidRDefault="00083F0E" w:rsidP="00083F0E">
            <w:pPr>
              <w:rPr>
                <w:lang w:val="it-IT"/>
              </w:rPr>
            </w:pPr>
            <w:r>
              <w:rPr>
                <w:lang w:val="it-IT"/>
              </w:rPr>
              <w:t>Hulumtimi i literatures kimike organike, Ushtrime teorike per emertimin e komponimeve organike.</w:t>
            </w:r>
          </w:p>
        </w:tc>
      </w:tr>
      <w:tr w:rsidR="00083F0E" w:rsidRPr="00584FA0" w:rsidTr="0072612D">
        <w:tblPrEx>
          <w:tblLook w:val="04A0"/>
        </w:tblPrEx>
        <w:tc>
          <w:tcPr>
            <w:tcW w:w="528" w:type="dxa"/>
            <w:tcBorders>
              <w:left w:val="single" w:sz="4" w:space="0" w:color="auto"/>
              <w:right w:val="single" w:sz="4" w:space="0" w:color="auto"/>
            </w:tcBorders>
          </w:tcPr>
          <w:p w:rsidR="00083F0E" w:rsidRPr="00494362" w:rsidRDefault="00083F0E" w:rsidP="00083F0E">
            <w:pPr>
              <w:ind w:left="720" w:hanging="720"/>
              <w:rPr>
                <w:b/>
              </w:rPr>
            </w:pPr>
            <w:r w:rsidRPr="00494362">
              <w:rPr>
                <w:b/>
                <w:sz w:val="22"/>
                <w:szCs w:val="22"/>
              </w:rPr>
              <w:t>10.</w:t>
            </w:r>
          </w:p>
        </w:tc>
        <w:tc>
          <w:tcPr>
            <w:tcW w:w="8328" w:type="dxa"/>
            <w:gridSpan w:val="2"/>
            <w:tcBorders>
              <w:left w:val="single" w:sz="4" w:space="0" w:color="auto"/>
            </w:tcBorders>
          </w:tcPr>
          <w:p w:rsidR="00083F0E" w:rsidRPr="000D6650" w:rsidRDefault="00083F0E" w:rsidP="00083F0E">
            <w:pPr>
              <w:rPr>
                <w:lang w:val="it-IT"/>
              </w:rPr>
            </w:pPr>
            <w:r>
              <w:rPr>
                <w:lang w:val="it-IT"/>
              </w:rPr>
              <w:t>Simbolet e rrezikut, Frazat R dhe S, Kombinimi i numrave R, Kombinimi i numrave S.</w:t>
            </w:r>
          </w:p>
        </w:tc>
      </w:tr>
      <w:tr w:rsidR="00083F0E" w:rsidRPr="00584FA0" w:rsidTr="0072612D">
        <w:tblPrEx>
          <w:tblLook w:val="04A0"/>
        </w:tblPrEx>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11.</w:t>
            </w:r>
          </w:p>
        </w:tc>
        <w:tc>
          <w:tcPr>
            <w:tcW w:w="8328" w:type="dxa"/>
            <w:gridSpan w:val="2"/>
            <w:tcBorders>
              <w:left w:val="single" w:sz="4" w:space="0" w:color="auto"/>
            </w:tcBorders>
          </w:tcPr>
          <w:p w:rsidR="00083F0E" w:rsidRPr="000D6650" w:rsidRDefault="00083F0E" w:rsidP="00083F0E">
            <w:pPr>
              <w:jc w:val="both"/>
              <w:rPr>
                <w:lang w:val="it-IT"/>
              </w:rPr>
            </w:pPr>
            <w:r w:rsidRPr="00590D40">
              <w:rPr>
                <w:lang w:val="it-IT"/>
              </w:rPr>
              <w:t>Lipidet, Hulumtimi i vetive te pergjithshme dhe perberjes se lipideve, Ekstraktimi dhe percaktimi kuantitativ i lipideve me aparat Soxhleti, Tretshmeria e lipideve, Emulzioni te lipidet, Hidroliza e lipideve, Reaksionet e sapuneve, Reaksioni i akroleines, Identifikimi i acideve yndyrore te pangopura ne vajra me mjete te  forta oksidues, P</w:t>
            </w:r>
            <w:r>
              <w:rPr>
                <w:lang w:val="it-IT"/>
              </w:rPr>
              <w:t>ercaktimi i treguesve fiziko-kim</w:t>
            </w:r>
            <w:r w:rsidRPr="00590D40">
              <w:rPr>
                <w:lang w:val="it-IT"/>
              </w:rPr>
              <w:t>ik te yndyrnave dhe vajrave, Numri jodik, numri acedik, Numri saponifikues, Numri esterik.</w:t>
            </w:r>
          </w:p>
        </w:tc>
      </w:tr>
      <w:tr w:rsidR="00083F0E" w:rsidRPr="00584FA0" w:rsidTr="0072612D">
        <w:tblPrEx>
          <w:tblLook w:val="04A0"/>
        </w:tblPrEx>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12.</w:t>
            </w:r>
          </w:p>
        </w:tc>
        <w:tc>
          <w:tcPr>
            <w:tcW w:w="8328" w:type="dxa"/>
            <w:gridSpan w:val="2"/>
            <w:tcBorders>
              <w:left w:val="single" w:sz="4" w:space="0" w:color="auto"/>
            </w:tcBorders>
          </w:tcPr>
          <w:p w:rsidR="00083F0E" w:rsidRPr="000D6650" w:rsidRDefault="00083F0E" w:rsidP="00083F0E">
            <w:pPr>
              <w:jc w:val="both"/>
              <w:rPr>
                <w:lang w:val="it-IT"/>
              </w:rPr>
            </w:pPr>
            <w:r>
              <w:rPr>
                <w:lang w:val="it-IT"/>
              </w:rPr>
              <w:t>Karbohidratet, Prova e tromerit, Prova e Fehlingut, Prova e Nylanderit, prova e argjendit, Veprimi i bazave ne monosaharide, Prova e Mooreut, Veprimi i acideve minerale ne monosaharide, Prova e Molischit, Ozazonet, Reaksioni i fenilhidrazines, Reaksionet per dallimin e ketozave nga aldozat, Testi i Seliwanoff-it, Hulumtimi i vetive reduktuese te disaharideve, prova e Fehlingut me disaharide, Hidroliza e Saharozes, Analiza e vetive kimike te polisaharideve, Prova e Lugolit, Prova e Fehlingut me amidon, Hidroliza e amidonit me HCl.</w:t>
            </w:r>
          </w:p>
        </w:tc>
      </w:tr>
      <w:tr w:rsidR="00083F0E" w:rsidRPr="00584FA0" w:rsidTr="0072612D">
        <w:tblPrEx>
          <w:tblLook w:val="04A0"/>
        </w:tblPrEx>
        <w:trPr>
          <w:trHeight w:val="197"/>
        </w:trPr>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13.</w:t>
            </w:r>
          </w:p>
        </w:tc>
        <w:tc>
          <w:tcPr>
            <w:tcW w:w="8328" w:type="dxa"/>
            <w:gridSpan w:val="2"/>
            <w:tcBorders>
              <w:left w:val="single" w:sz="4" w:space="0" w:color="auto"/>
            </w:tcBorders>
          </w:tcPr>
          <w:p w:rsidR="00083F0E" w:rsidRPr="000D6650" w:rsidRDefault="00083F0E" w:rsidP="00083F0E">
            <w:pPr>
              <w:jc w:val="both"/>
              <w:rPr>
                <w:lang w:val="it-IT"/>
              </w:rPr>
            </w:pPr>
            <w:r>
              <w:rPr>
                <w:lang w:val="it-IT"/>
              </w:rPr>
              <w:t xml:space="preserve">Proteinat, Reaksionet reverzibile te precipitimit, precipitimi me sulfat amoni, me NaCl, me alkool, Reaksionet ireversibile te precipitimit, precipitimi me nxemje, me metale te renda, prova e Hellerit, me acide organike, me reagjent alkaloidesh, Reaksionet me ngjyre te proteinave, Reaksioni i biuretit, Reaksioni ksantoproteinik, Reaksioni cistenik, Raksioni i Milanit, Reaksioni i Ademkievichit, Reaksioni i ninhidrines. </w:t>
            </w:r>
          </w:p>
        </w:tc>
      </w:tr>
      <w:tr w:rsidR="00083F0E" w:rsidRPr="00584FA0" w:rsidTr="0072612D">
        <w:tblPrEx>
          <w:tblLook w:val="04A0"/>
        </w:tblPrEx>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14.</w:t>
            </w:r>
          </w:p>
        </w:tc>
        <w:tc>
          <w:tcPr>
            <w:tcW w:w="8328" w:type="dxa"/>
            <w:gridSpan w:val="2"/>
            <w:tcBorders>
              <w:left w:val="single" w:sz="4" w:space="0" w:color="auto"/>
            </w:tcBorders>
          </w:tcPr>
          <w:p w:rsidR="00083F0E" w:rsidRPr="000D6650" w:rsidRDefault="00083F0E" w:rsidP="00083F0E">
            <w:pPr>
              <w:jc w:val="both"/>
              <w:rPr>
                <w:lang w:val="it-IT"/>
              </w:rPr>
            </w:pPr>
            <w:r>
              <w:rPr>
                <w:lang w:val="it-IT"/>
              </w:rPr>
              <w:t>Acidet nukleike, izolimi</w:t>
            </w:r>
            <w:r w:rsidRPr="00590D40">
              <w:rPr>
                <w:lang w:val="it-IT"/>
              </w:rPr>
              <w:t xml:space="preserve"> dhe </w:t>
            </w:r>
            <w:r>
              <w:rPr>
                <w:lang w:val="it-IT"/>
              </w:rPr>
              <w:t>v</w:t>
            </w:r>
            <w:r w:rsidRPr="00095E32">
              <w:rPr>
                <w:lang w:val="it-IT"/>
              </w:rPr>
              <w:t>ë</w:t>
            </w:r>
            <w:r>
              <w:rPr>
                <w:lang w:val="it-IT"/>
              </w:rPr>
              <w:t>rtetimi i dezoksiribonukleoproteideve</w:t>
            </w:r>
            <w:r w:rsidRPr="00590D40">
              <w:rPr>
                <w:lang w:val="it-IT"/>
              </w:rPr>
              <w:t xml:space="preserve"> prej shpnetkes, Hidroliza acidike e nukleotideve, Identifikimi i pjeseve perberse te nukleotideve.</w:t>
            </w:r>
          </w:p>
        </w:tc>
      </w:tr>
      <w:tr w:rsidR="00083F0E" w:rsidRPr="00584FA0" w:rsidTr="0072612D">
        <w:tblPrEx>
          <w:tblLook w:val="04A0"/>
        </w:tblPrEx>
        <w:tc>
          <w:tcPr>
            <w:tcW w:w="528" w:type="dxa"/>
            <w:tcBorders>
              <w:left w:val="single" w:sz="4" w:space="0" w:color="auto"/>
              <w:right w:val="single" w:sz="4" w:space="0" w:color="auto"/>
            </w:tcBorders>
          </w:tcPr>
          <w:p w:rsidR="00083F0E" w:rsidRPr="00494362" w:rsidRDefault="00083F0E" w:rsidP="00083F0E">
            <w:pPr>
              <w:rPr>
                <w:b/>
              </w:rPr>
            </w:pPr>
            <w:r w:rsidRPr="00494362">
              <w:rPr>
                <w:b/>
                <w:sz w:val="22"/>
                <w:szCs w:val="22"/>
              </w:rPr>
              <w:t>15.</w:t>
            </w:r>
          </w:p>
        </w:tc>
        <w:tc>
          <w:tcPr>
            <w:tcW w:w="8328" w:type="dxa"/>
            <w:gridSpan w:val="2"/>
            <w:tcBorders>
              <w:left w:val="single" w:sz="4" w:space="0" w:color="auto"/>
            </w:tcBorders>
          </w:tcPr>
          <w:p w:rsidR="00083F0E" w:rsidRPr="000D6650" w:rsidRDefault="00083F0E" w:rsidP="00083F0E">
            <w:pPr>
              <w:jc w:val="both"/>
              <w:rPr>
                <w:iCs/>
              </w:rPr>
            </w:pPr>
            <w:r w:rsidRPr="000D6650">
              <w:rPr>
                <w:iCs/>
                <w:sz w:val="22"/>
                <w:szCs w:val="22"/>
              </w:rPr>
              <w:t>Kollokfium</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239"/>
      </w:tblGrid>
      <w:tr w:rsidR="0072612D" w:rsidRPr="00777D28" w:rsidTr="004C7FD6">
        <w:tc>
          <w:tcPr>
            <w:tcW w:w="8856" w:type="dxa"/>
            <w:gridSpan w:val="2"/>
            <w:shd w:val="clear" w:color="auto" w:fill="D9D9D9"/>
          </w:tcPr>
          <w:p w:rsidR="0072612D" w:rsidRPr="00777D28" w:rsidRDefault="0072612D" w:rsidP="004C7FD6">
            <w:pPr>
              <w:pStyle w:val="NoSpacing"/>
              <w:rPr>
                <w:rFonts w:ascii="Calibri" w:hAnsi="Calibri"/>
                <w:b/>
              </w:rPr>
            </w:pPr>
            <w:r w:rsidRPr="00777D28">
              <w:rPr>
                <w:rFonts w:ascii="Calibri" w:hAnsi="Calibri"/>
                <w:b/>
              </w:rPr>
              <w:t xml:space="preserve">Literatura </w:t>
            </w:r>
            <w:r>
              <w:rPr>
                <w:rFonts w:ascii="Calibri" w:hAnsi="Calibri"/>
                <w:b/>
              </w:rPr>
              <w:t>p</w:t>
            </w:r>
            <w:r w:rsidRPr="00AD2223">
              <w:rPr>
                <w:rFonts w:ascii="Calibri" w:hAnsi="Calibri"/>
                <w:b/>
              </w:rPr>
              <w:t>ë</w:t>
            </w:r>
            <w:r>
              <w:rPr>
                <w:rFonts w:ascii="Calibri" w:hAnsi="Calibri"/>
                <w:b/>
              </w:rPr>
              <w:t>r ushtrime laboratorike</w:t>
            </w:r>
          </w:p>
        </w:tc>
      </w:tr>
      <w:tr w:rsidR="0072612D" w:rsidRPr="00422B4B" w:rsidTr="004C7FD6">
        <w:tc>
          <w:tcPr>
            <w:tcW w:w="3617" w:type="dxa"/>
          </w:tcPr>
          <w:p w:rsidR="0072612D" w:rsidRPr="00777D28" w:rsidRDefault="0072612D" w:rsidP="004C7FD6">
            <w:pPr>
              <w:pStyle w:val="NoSpacing"/>
              <w:rPr>
                <w:rFonts w:ascii="Calibri" w:hAnsi="Calibri"/>
                <w:b/>
              </w:rPr>
            </w:pPr>
            <w:r w:rsidRPr="00777D28">
              <w:rPr>
                <w:rFonts w:ascii="Calibri" w:hAnsi="Calibri"/>
                <w:b/>
              </w:rPr>
              <w:t xml:space="preserve">Literatura bazë:  </w:t>
            </w:r>
          </w:p>
        </w:tc>
        <w:tc>
          <w:tcPr>
            <w:tcW w:w="5239" w:type="dxa"/>
          </w:tcPr>
          <w:p w:rsidR="0072612D" w:rsidRPr="00422B4B" w:rsidRDefault="0072612D" w:rsidP="0072612D">
            <w:pPr>
              <w:pStyle w:val="ListParagraph"/>
              <w:numPr>
                <w:ilvl w:val="0"/>
                <w:numId w:val="4"/>
              </w:numPr>
              <w:jc w:val="both"/>
              <w:rPr>
                <w:rFonts w:ascii="Times New Roman" w:hAnsi="Times New Roman"/>
                <w:lang w:val="it-IT"/>
              </w:rPr>
            </w:pPr>
            <w:r w:rsidRPr="00422B4B">
              <w:rPr>
                <w:rFonts w:ascii="Times New Roman" w:hAnsi="Times New Roman"/>
                <w:lang w:val="it-IT"/>
              </w:rPr>
              <w:t>N.M.Daci, Kimia Organike Eksperi</w:t>
            </w:r>
            <w:r>
              <w:rPr>
                <w:rFonts w:ascii="Times New Roman" w:hAnsi="Times New Roman"/>
                <w:lang w:val="it-IT"/>
              </w:rPr>
              <w:t xml:space="preserve">mentale, ASHAK, </w:t>
            </w:r>
            <w:r w:rsidRPr="00422B4B">
              <w:rPr>
                <w:rFonts w:ascii="Times New Roman" w:hAnsi="Times New Roman"/>
                <w:lang w:val="it-IT"/>
              </w:rPr>
              <w:t xml:space="preserve">1998, Prishtinë; </w:t>
            </w:r>
          </w:p>
        </w:tc>
      </w:tr>
      <w:tr w:rsidR="0072612D" w:rsidRPr="00422B4B" w:rsidTr="004C7FD6">
        <w:tc>
          <w:tcPr>
            <w:tcW w:w="3617" w:type="dxa"/>
          </w:tcPr>
          <w:p w:rsidR="0072612D" w:rsidRPr="00777D28" w:rsidRDefault="0072612D" w:rsidP="004C7FD6">
            <w:pPr>
              <w:pStyle w:val="NoSpacing"/>
              <w:rPr>
                <w:rFonts w:ascii="Calibri" w:hAnsi="Calibri"/>
                <w:b/>
              </w:rPr>
            </w:pPr>
            <w:r w:rsidRPr="00777D28">
              <w:rPr>
                <w:rFonts w:ascii="Calibri" w:hAnsi="Calibri"/>
                <w:b/>
              </w:rPr>
              <w:t xml:space="preserve">Literatura shtesë:  </w:t>
            </w:r>
          </w:p>
        </w:tc>
        <w:tc>
          <w:tcPr>
            <w:tcW w:w="5239" w:type="dxa"/>
          </w:tcPr>
          <w:p w:rsidR="0072612D" w:rsidRPr="00422B4B" w:rsidRDefault="0072612D" w:rsidP="0072612D">
            <w:pPr>
              <w:pStyle w:val="ListParagraph"/>
              <w:numPr>
                <w:ilvl w:val="0"/>
                <w:numId w:val="4"/>
              </w:numPr>
              <w:spacing w:line="240" w:lineRule="auto"/>
              <w:jc w:val="both"/>
              <w:rPr>
                <w:rFonts w:ascii="Times New Roman" w:hAnsi="Times New Roman"/>
                <w:lang w:val="it-IT"/>
              </w:rPr>
            </w:pPr>
            <w:r w:rsidRPr="00422B4B">
              <w:rPr>
                <w:rFonts w:ascii="Times New Roman" w:hAnsi="Times New Roman"/>
              </w:rPr>
              <w:t xml:space="preserve">Laurence M. Harwood &amp; Christopher J. Moody, </w:t>
            </w:r>
            <w:r w:rsidRPr="00422B4B">
              <w:rPr>
                <w:rFonts w:ascii="Times New Roman" w:hAnsi="Times New Roman"/>
              </w:rPr>
              <w:lastRenderedPageBreak/>
              <w:t>Experimental Organic Chemistry, Blackwell Scientific Publications, Oxford, London, 1989.</w:t>
            </w:r>
          </w:p>
          <w:p w:rsidR="0072612D" w:rsidRPr="00422B4B" w:rsidRDefault="0072612D" w:rsidP="0072612D">
            <w:pPr>
              <w:pStyle w:val="ListParagraph"/>
              <w:numPr>
                <w:ilvl w:val="0"/>
                <w:numId w:val="4"/>
              </w:numPr>
              <w:spacing w:line="240" w:lineRule="auto"/>
              <w:jc w:val="both"/>
              <w:rPr>
                <w:rFonts w:ascii="Times New Roman" w:hAnsi="Times New Roman"/>
                <w:lang w:val="it-IT"/>
              </w:rPr>
            </w:pPr>
            <w:r w:rsidRPr="00422B4B">
              <w:rPr>
                <w:rFonts w:ascii="Times New Roman" w:hAnsi="Times New Roman"/>
              </w:rPr>
              <w:t xml:space="preserve"> Lois F. Fieser, Kenneth L. Williamson, Organic Experiments, 4</w:t>
            </w:r>
            <w:r w:rsidRPr="00422B4B">
              <w:rPr>
                <w:rFonts w:ascii="Times New Roman" w:hAnsi="Times New Roman"/>
                <w:vertAlign w:val="superscript"/>
              </w:rPr>
              <w:t>th</w:t>
            </w:r>
            <w:r w:rsidRPr="00422B4B">
              <w:rPr>
                <w:rFonts w:ascii="Times New Roman" w:hAnsi="Times New Roman"/>
              </w:rPr>
              <w:t xml:space="preserve"> edition, D.C.Heath and Company, Massachusetts, USA, 1979.</w:t>
            </w:r>
          </w:p>
          <w:p w:rsidR="0072612D" w:rsidRPr="00422B4B" w:rsidRDefault="0072612D" w:rsidP="0072612D">
            <w:pPr>
              <w:pStyle w:val="ListParagraph"/>
              <w:numPr>
                <w:ilvl w:val="0"/>
                <w:numId w:val="4"/>
              </w:numPr>
              <w:spacing w:line="240" w:lineRule="auto"/>
              <w:jc w:val="both"/>
              <w:rPr>
                <w:lang w:val="it-IT"/>
              </w:rPr>
            </w:pPr>
            <w:r w:rsidRPr="00422B4B">
              <w:rPr>
                <w:rFonts w:ascii="Times New Roman" w:hAnsi="Times New Roman"/>
                <w:lang w:val="it-IT"/>
              </w:rPr>
              <w:t>S. Govori, V. Kalaj, O. Leci, Kimia organike preparative, Universiteti i Prishtines, 2006, Prishtine.</w:t>
            </w:r>
          </w:p>
        </w:tc>
      </w:tr>
    </w:tbl>
    <w:p w:rsidR="00F15509" w:rsidRPr="00193B66" w:rsidRDefault="00F15509" w:rsidP="00F15509">
      <w:pPr>
        <w:pStyle w:val="NoSpacing"/>
        <w:rPr>
          <w:sz w:val="22"/>
          <w:szCs w:val="22"/>
        </w:rPr>
      </w:pPr>
    </w:p>
    <w:p w:rsidR="00F15509" w:rsidRPr="00193B66" w:rsidRDefault="00F15509" w:rsidP="00F15509">
      <w:pPr>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F15509" w:rsidRPr="00193B66" w:rsidTr="0030127E">
        <w:tc>
          <w:tcPr>
            <w:tcW w:w="8856" w:type="dxa"/>
            <w:shd w:val="clear" w:color="auto" w:fill="D9D9D9"/>
          </w:tcPr>
          <w:p w:rsidR="00F15509" w:rsidRPr="00193B66" w:rsidRDefault="00F15509" w:rsidP="0030127E">
            <w:pPr>
              <w:jc w:val="center"/>
              <w:rPr>
                <w:rFonts w:ascii="Calibri" w:hAnsi="Calibri"/>
                <w:b/>
              </w:rPr>
            </w:pPr>
            <w:r w:rsidRPr="00193B66">
              <w:rPr>
                <w:rFonts w:ascii="Calibri" w:hAnsi="Calibri"/>
                <w:b/>
                <w:sz w:val="22"/>
                <w:szCs w:val="22"/>
              </w:rPr>
              <w:t>Politikat akademike dhe rregullat e mirësjelljes:</w:t>
            </w:r>
          </w:p>
        </w:tc>
      </w:tr>
      <w:tr w:rsidR="00F15509" w:rsidRPr="00193B66" w:rsidTr="0030127E">
        <w:trPr>
          <w:trHeight w:val="611"/>
        </w:trPr>
        <w:tc>
          <w:tcPr>
            <w:tcW w:w="8856" w:type="dxa"/>
          </w:tcPr>
          <w:p w:rsidR="00F15509" w:rsidRPr="00193B66" w:rsidRDefault="00415DB0" w:rsidP="0030127E">
            <w:r w:rsidRPr="00EC3EEF">
              <w:rPr>
                <w:sz w:val="22"/>
                <w:szCs w:val="22"/>
              </w:rPr>
              <w:t>Çdo student duhet tu përmbahet politikave të përshkruara me Statutin e UP-së. Vijimi i rregullt n</w:t>
            </w:r>
            <w:r w:rsidRPr="00EC3EEF">
              <w:rPr>
                <w:sz w:val="22"/>
                <w:szCs w:val="22"/>
                <w:lang w:val="it-IT"/>
              </w:rPr>
              <w:t>ё</w:t>
            </w:r>
            <w:r w:rsidRPr="00EC3EEF">
              <w:rPr>
                <w:sz w:val="22"/>
                <w:szCs w:val="22"/>
              </w:rPr>
              <w:t xml:space="preserve"> ligj</w:t>
            </w:r>
            <w:r w:rsidRPr="00EC3EEF">
              <w:rPr>
                <w:sz w:val="22"/>
                <w:szCs w:val="22"/>
                <w:lang w:val="it-IT"/>
              </w:rPr>
              <w:t>ё</w:t>
            </w:r>
            <w:r w:rsidRPr="00EC3EEF">
              <w:rPr>
                <w:sz w:val="22"/>
                <w:szCs w:val="22"/>
              </w:rPr>
              <w:t>rata dhe ushtrime si dhe aktiviteti gjat</w:t>
            </w:r>
            <w:r w:rsidRPr="00EC3EEF">
              <w:rPr>
                <w:sz w:val="22"/>
                <w:szCs w:val="22"/>
                <w:lang w:val="it-IT"/>
              </w:rPr>
              <w:t>ё</w:t>
            </w:r>
            <w:r w:rsidRPr="00EC3EEF">
              <w:rPr>
                <w:sz w:val="22"/>
                <w:szCs w:val="22"/>
              </w:rPr>
              <w:t xml:space="preserve"> or</w:t>
            </w:r>
            <w:r w:rsidRPr="00EC3EEF">
              <w:rPr>
                <w:sz w:val="22"/>
                <w:szCs w:val="22"/>
                <w:lang w:val="it-IT"/>
              </w:rPr>
              <w:t>ё</w:t>
            </w:r>
            <w:r w:rsidRPr="00EC3EEF">
              <w:rPr>
                <w:sz w:val="22"/>
                <w:szCs w:val="22"/>
              </w:rPr>
              <w:t>ve t</w:t>
            </w:r>
            <w:r w:rsidRPr="00EC3EEF">
              <w:rPr>
                <w:sz w:val="22"/>
                <w:szCs w:val="22"/>
                <w:lang w:val="it-IT"/>
              </w:rPr>
              <w:t>ё</w:t>
            </w:r>
            <w:r w:rsidRPr="00EC3EEF">
              <w:rPr>
                <w:sz w:val="22"/>
                <w:szCs w:val="22"/>
              </w:rPr>
              <w:t xml:space="preserve"> m</w:t>
            </w:r>
            <w:r w:rsidRPr="00EC3EEF">
              <w:rPr>
                <w:sz w:val="22"/>
                <w:szCs w:val="22"/>
                <w:lang w:val="it-IT"/>
              </w:rPr>
              <w:t>ё</w:t>
            </w:r>
            <w:r w:rsidRPr="00EC3EEF">
              <w:rPr>
                <w:sz w:val="22"/>
                <w:szCs w:val="22"/>
              </w:rPr>
              <w:t>simit është i domosdoshëm për çdo student. Mashtrimet e çfarëdo lloji nuk do të tolerohen.</w:t>
            </w:r>
          </w:p>
        </w:tc>
      </w:tr>
    </w:tbl>
    <w:p w:rsidR="00F15509" w:rsidRPr="00193B66" w:rsidRDefault="00F15509" w:rsidP="00F15509">
      <w:pPr>
        <w:rPr>
          <w:rFonts w:ascii="Calibri" w:hAnsi="Calibri"/>
          <w:b/>
          <w:sz w:val="22"/>
          <w:szCs w:val="22"/>
        </w:rPr>
      </w:pPr>
    </w:p>
    <w:p w:rsidR="00F15509" w:rsidRPr="00193B66" w:rsidRDefault="00F15509" w:rsidP="00F15509">
      <w:pPr>
        <w:rPr>
          <w:rFonts w:ascii="Calibri" w:hAnsi="Calibri"/>
          <w:b/>
          <w:sz w:val="22"/>
          <w:szCs w:val="22"/>
        </w:rPr>
      </w:pPr>
    </w:p>
    <w:p w:rsidR="00F15509" w:rsidRPr="00193B66" w:rsidRDefault="00F15509" w:rsidP="00F15509">
      <w:pPr>
        <w:rPr>
          <w:sz w:val="22"/>
          <w:szCs w:val="22"/>
        </w:rPr>
      </w:pPr>
    </w:p>
    <w:p w:rsidR="00AC407B" w:rsidRDefault="00AC407B"/>
    <w:sectPr w:rsidR="00AC407B" w:rsidSect="006646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82A" w:rsidRDefault="005A782A" w:rsidP="00E41510">
      <w:r>
        <w:separator/>
      </w:r>
    </w:p>
  </w:endnote>
  <w:endnote w:type="continuationSeparator" w:id="1">
    <w:p w:rsidR="005A782A" w:rsidRDefault="005A782A" w:rsidP="00E41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6D" w:rsidRDefault="0001739A" w:rsidP="009B3F0A">
    <w:pPr>
      <w:pStyle w:val="Footer"/>
      <w:framePr w:wrap="around" w:vAnchor="text" w:hAnchor="margin" w:xAlign="right" w:y="1"/>
      <w:rPr>
        <w:rStyle w:val="PageNumber"/>
      </w:rPr>
    </w:pPr>
    <w:r>
      <w:rPr>
        <w:rStyle w:val="PageNumber"/>
      </w:rPr>
      <w:fldChar w:fldCharType="begin"/>
    </w:r>
    <w:r w:rsidR="00415DB0">
      <w:rPr>
        <w:rStyle w:val="PageNumber"/>
      </w:rPr>
      <w:instrText xml:space="preserve">PAGE  </w:instrText>
    </w:r>
    <w:r>
      <w:rPr>
        <w:rStyle w:val="PageNumber"/>
      </w:rPr>
      <w:fldChar w:fldCharType="end"/>
    </w:r>
  </w:p>
  <w:p w:rsidR="003B606D" w:rsidRDefault="00E34490"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6D" w:rsidRDefault="0001739A" w:rsidP="009B3F0A">
    <w:pPr>
      <w:pStyle w:val="Footer"/>
      <w:framePr w:wrap="around" w:vAnchor="text" w:hAnchor="margin" w:xAlign="right" w:y="1"/>
      <w:rPr>
        <w:rStyle w:val="PageNumber"/>
      </w:rPr>
    </w:pPr>
    <w:r>
      <w:rPr>
        <w:rStyle w:val="PageNumber"/>
      </w:rPr>
      <w:fldChar w:fldCharType="begin"/>
    </w:r>
    <w:r w:rsidR="00415DB0">
      <w:rPr>
        <w:rStyle w:val="PageNumber"/>
      </w:rPr>
      <w:instrText xml:space="preserve">PAGE  </w:instrText>
    </w:r>
    <w:r>
      <w:rPr>
        <w:rStyle w:val="PageNumber"/>
      </w:rPr>
      <w:fldChar w:fldCharType="separate"/>
    </w:r>
    <w:r w:rsidR="00E34490">
      <w:rPr>
        <w:rStyle w:val="PageNumber"/>
        <w:noProof/>
      </w:rPr>
      <w:t>1</w:t>
    </w:r>
    <w:r>
      <w:rPr>
        <w:rStyle w:val="PageNumber"/>
      </w:rPr>
      <w:fldChar w:fldCharType="end"/>
    </w:r>
  </w:p>
  <w:p w:rsidR="003B606D" w:rsidRDefault="00E34490"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82A" w:rsidRDefault="005A782A" w:rsidP="00E41510">
      <w:r>
        <w:separator/>
      </w:r>
    </w:p>
  </w:footnote>
  <w:footnote w:type="continuationSeparator" w:id="1">
    <w:p w:rsidR="005A782A" w:rsidRDefault="005A782A" w:rsidP="00E41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66C4"/>
    <w:multiLevelType w:val="hybridMultilevel"/>
    <w:tmpl w:val="DF1A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D3BCD"/>
    <w:multiLevelType w:val="hybridMultilevel"/>
    <w:tmpl w:val="E0165A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6353C23"/>
    <w:multiLevelType w:val="hybridMultilevel"/>
    <w:tmpl w:val="9CD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613C3"/>
    <w:multiLevelType w:val="hybridMultilevel"/>
    <w:tmpl w:val="BDD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509"/>
    <w:rsid w:val="0001739A"/>
    <w:rsid w:val="00083F0E"/>
    <w:rsid w:val="000F2F23"/>
    <w:rsid w:val="00233403"/>
    <w:rsid w:val="002825CE"/>
    <w:rsid w:val="002F3525"/>
    <w:rsid w:val="00415DB0"/>
    <w:rsid w:val="005321A4"/>
    <w:rsid w:val="005A782A"/>
    <w:rsid w:val="005F7C4D"/>
    <w:rsid w:val="006549D4"/>
    <w:rsid w:val="006F709B"/>
    <w:rsid w:val="007176FE"/>
    <w:rsid w:val="0072612D"/>
    <w:rsid w:val="007E298B"/>
    <w:rsid w:val="009749E6"/>
    <w:rsid w:val="00AC407B"/>
    <w:rsid w:val="00C41B93"/>
    <w:rsid w:val="00D74552"/>
    <w:rsid w:val="00DE7C35"/>
    <w:rsid w:val="00E34490"/>
    <w:rsid w:val="00E41510"/>
    <w:rsid w:val="00E86F04"/>
    <w:rsid w:val="00F15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5509"/>
    <w:pPr>
      <w:tabs>
        <w:tab w:val="center" w:pos="4320"/>
        <w:tab w:val="right" w:pos="8640"/>
      </w:tabs>
    </w:pPr>
  </w:style>
  <w:style w:type="character" w:customStyle="1" w:styleId="FooterChar">
    <w:name w:val="Footer Char"/>
    <w:basedOn w:val="DefaultParagraphFont"/>
    <w:link w:val="Footer"/>
    <w:uiPriority w:val="99"/>
    <w:rsid w:val="00F15509"/>
    <w:rPr>
      <w:rFonts w:ascii="Times New Roman" w:eastAsia="Times New Roman" w:hAnsi="Times New Roman" w:cs="Times New Roman"/>
      <w:sz w:val="24"/>
      <w:szCs w:val="24"/>
    </w:rPr>
  </w:style>
  <w:style w:type="character" w:styleId="PageNumber">
    <w:name w:val="page number"/>
    <w:basedOn w:val="DefaultParagraphFont"/>
    <w:uiPriority w:val="99"/>
    <w:rsid w:val="00F15509"/>
    <w:rPr>
      <w:rFonts w:cs="Times New Roman"/>
    </w:rPr>
  </w:style>
  <w:style w:type="paragraph" w:styleId="NoSpacing">
    <w:name w:val="No Spacing"/>
    <w:uiPriority w:val="99"/>
    <w:qFormat/>
    <w:rsid w:val="00F1550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15509"/>
    <w:rPr>
      <w:rFonts w:cs="Times New Roman"/>
      <w:color w:val="0000FF"/>
      <w:u w:val="single"/>
    </w:rPr>
  </w:style>
  <w:style w:type="paragraph" w:styleId="ListParagraph">
    <w:name w:val="List Paragraph"/>
    <w:basedOn w:val="Normal"/>
    <w:uiPriority w:val="34"/>
    <w:qFormat/>
    <w:rsid w:val="0072612D"/>
    <w:pPr>
      <w:spacing w:after="200" w:line="276" w:lineRule="auto"/>
      <w:ind w:left="720"/>
      <w:contextualSpacing/>
    </w:pPr>
    <w:rPr>
      <w:rFonts w:ascii="Calibri" w:hAnsi="Calibri"/>
      <w:sz w:val="22"/>
      <w:szCs w:val="22"/>
    </w:rPr>
  </w:style>
  <w:style w:type="table" w:styleId="TableGrid">
    <w:name w:val="Table Grid"/>
    <w:basedOn w:val="TableNormal"/>
    <w:rsid w:val="007176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jlinda.ajvaz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DACI</dc:creator>
  <cp:lastModifiedBy>hp</cp:lastModifiedBy>
  <cp:revision>2</cp:revision>
  <dcterms:created xsi:type="dcterms:W3CDTF">2019-10-02T15:28:00Z</dcterms:created>
  <dcterms:modified xsi:type="dcterms:W3CDTF">2019-10-02T15:28:00Z</dcterms:modified>
</cp:coreProperties>
</file>